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0"/>
          <w:sz w:val="28"/>
          <w:szCs w:val="28"/>
        </w:rPr>
      </w:pPr>
      <w:r>
        <w:rPr>
          <w:rFonts w:hint="eastAsia" w:ascii="宋体" w:hAnsi="宋体" w:eastAsia="宋体" w:cs="宋体"/>
          <w:kern w:val="0"/>
          <w:sz w:val="28"/>
          <w:szCs w:val="28"/>
        </w:rPr>
        <w:t>浙建价协</w:t>
      </w:r>
      <w:r>
        <w:rPr>
          <w:rFonts w:ascii="宋体" w:hAnsi="宋体" w:eastAsia="宋体" w:cs="宋体"/>
          <w:kern w:val="0"/>
          <w:sz w:val="28"/>
          <w:szCs w:val="28"/>
        </w:rPr>
        <w:t>〔</w:t>
      </w:r>
      <w:r>
        <w:rPr>
          <w:rFonts w:hint="eastAsia" w:ascii="宋体" w:hAnsi="宋体" w:eastAsia="宋体" w:cs="宋体"/>
          <w:kern w:val="0"/>
          <w:sz w:val="28"/>
          <w:szCs w:val="28"/>
        </w:rPr>
        <w:t>201</w:t>
      </w:r>
      <w:r>
        <w:rPr>
          <w:rFonts w:hint="eastAsia" w:ascii="宋体" w:hAnsi="宋体" w:eastAsia="宋体" w:cs="宋体"/>
          <w:kern w:val="0"/>
          <w:sz w:val="28"/>
          <w:szCs w:val="28"/>
          <w:lang w:val="en-US" w:eastAsia="zh-CN"/>
        </w:rPr>
        <w:t>9</w:t>
      </w:r>
      <w:r>
        <w:rPr>
          <w:rFonts w:ascii="宋体" w:hAnsi="宋体" w:eastAsia="宋体" w:cs="宋体"/>
          <w:kern w:val="0"/>
          <w:sz w:val="28"/>
          <w:szCs w:val="28"/>
        </w:rPr>
        <w:t>〕</w:t>
      </w:r>
      <w:r>
        <w:rPr>
          <w:rFonts w:hint="eastAsia" w:ascii="宋体" w:hAnsi="宋体" w:eastAsia="宋体" w:cs="宋体"/>
          <w:kern w:val="0"/>
          <w:sz w:val="28"/>
          <w:szCs w:val="28"/>
          <w:lang w:val="en-US" w:eastAsia="zh-CN"/>
        </w:rPr>
        <w:t>61</w:t>
      </w:r>
      <w:r>
        <w:rPr>
          <w:rFonts w:hint="eastAsia" w:ascii="宋体" w:hAnsi="宋体" w:eastAsia="宋体" w:cs="宋体"/>
          <w:kern w:val="0"/>
          <w:sz w:val="28"/>
          <w:szCs w:val="28"/>
        </w:rPr>
        <w:t>号</w:t>
      </w:r>
    </w:p>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新宋体" w:hAnsi="新宋体" w:eastAsia="新宋体" w:cs="新宋体"/>
          <w:b/>
          <w:bCs/>
          <w:sz w:val="30"/>
          <w:szCs w:val="30"/>
          <w:lang w:val="en-US" w:eastAsia="zh-CN"/>
        </w:rPr>
      </w:pPr>
      <w:r>
        <w:rPr>
          <w:rFonts w:hint="eastAsia" w:ascii="新宋体" w:hAnsi="新宋体" w:eastAsia="新宋体" w:cs="新宋体"/>
          <w:b/>
          <w:bCs/>
          <w:sz w:val="30"/>
          <w:szCs w:val="30"/>
          <w:lang w:val="en-US" w:eastAsia="zh-CN"/>
        </w:rPr>
        <w:t>浙江省建设工程造价管理协会</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ascii="新宋体" w:hAnsi="新宋体" w:eastAsia="新宋体" w:cs="新宋体"/>
          <w:b/>
          <w:bCs/>
          <w:kern w:val="2"/>
          <w:sz w:val="30"/>
          <w:szCs w:val="30"/>
          <w:lang w:val="en-US" w:eastAsia="zh-CN" w:bidi="ar-SA"/>
        </w:rPr>
      </w:pPr>
      <w:r>
        <w:rPr>
          <w:rFonts w:hint="eastAsia" w:ascii="新宋体" w:hAnsi="新宋体" w:eastAsia="新宋体" w:cs="新宋体"/>
          <w:b/>
          <w:bCs/>
          <w:sz w:val="30"/>
          <w:szCs w:val="30"/>
          <w:lang w:val="en-US" w:eastAsia="zh-CN"/>
        </w:rPr>
        <w:t>关于转</w:t>
      </w:r>
      <w:r>
        <w:rPr>
          <w:rFonts w:hint="eastAsia" w:ascii="新宋体" w:hAnsi="新宋体" w:eastAsia="新宋体" w:cs="新宋体"/>
          <w:b/>
          <w:bCs/>
          <w:kern w:val="2"/>
          <w:sz w:val="30"/>
          <w:szCs w:val="30"/>
          <w:lang w:val="en-US" w:eastAsia="zh-CN" w:bidi="ar-SA"/>
        </w:rPr>
        <w:t>发《中国建设工程造价管理协会关于印发</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default" w:ascii="新宋体" w:hAnsi="新宋体" w:eastAsia="新宋体" w:cs="新宋体"/>
          <w:b/>
          <w:bCs/>
          <w:kern w:val="2"/>
          <w:sz w:val="30"/>
          <w:szCs w:val="30"/>
          <w:lang w:val="en-US" w:eastAsia="zh-CN" w:bidi="ar-SA"/>
        </w:rPr>
      </w:pPr>
      <w:r>
        <w:rPr>
          <w:rFonts w:hint="eastAsia" w:ascii="新宋体" w:hAnsi="新宋体" w:eastAsia="新宋体" w:cs="新宋体"/>
          <w:b/>
          <w:bCs/>
          <w:kern w:val="2"/>
          <w:sz w:val="30"/>
          <w:szCs w:val="30"/>
          <w:lang w:val="en-US" w:eastAsia="zh-CN" w:bidi="ar-SA"/>
        </w:rPr>
        <w:t>&lt;工程造价咨询企业信用评价管理办法&gt;》的通知</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57" w:beforeLines="50" w:beforeAutospacing="0" w:after="0" w:afterAutospacing="0" w:line="360" w:lineRule="auto"/>
        <w:ind w:left="0" w:right="0" w:firstLine="0"/>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各中价协会员单位：</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80"/>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工程造价咨询行业信用体系建设，不仅是政府转变监管方式的需要，也是完善行业自律管理的重要手段。为贯彻落实国务院、住房和城乡建设部关于社会信用体系建设的工作部署，促进行业健康发展，中国建设工程造价管理协会决定开展2019年信用评价工作。现将《中国建设工程造价管理协会关于印发&lt;工程造价咨询企业信用评价管理办法&gt;的通知》予以转发，有关事项通知如下：</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57" w:beforeLines="50" w:beforeAutospacing="0" w:after="0" w:afterAutospacing="0" w:line="360" w:lineRule="auto"/>
        <w:ind w:left="0" w:right="0" w:firstLine="482"/>
        <w:jc w:val="left"/>
        <w:textAlignment w:val="auto"/>
        <w:rPr>
          <w:rFonts w:hint="eastAsia" w:ascii="宋体" w:hAnsi="宋体" w:eastAsia="宋体" w:cs="宋体"/>
          <w:b/>
          <w:bCs/>
          <w:kern w:val="2"/>
          <w:sz w:val="24"/>
          <w:szCs w:val="24"/>
          <w:lang w:val="en-US" w:eastAsia="zh-CN" w:bidi="ar-SA"/>
        </w:rPr>
      </w:pPr>
      <w:r>
        <w:rPr>
          <w:rFonts w:hint="eastAsia" w:ascii="宋体" w:hAnsi="宋体" w:eastAsia="宋体" w:cs="宋体"/>
          <w:b/>
          <w:bCs/>
          <w:kern w:val="2"/>
          <w:sz w:val="24"/>
          <w:szCs w:val="24"/>
          <w:lang w:val="en-US" w:eastAsia="zh-CN" w:bidi="ar-SA"/>
        </w:rPr>
        <w:t>一、评价对象</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8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1.本省中价协单位会员，可自愿申请参加；</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80"/>
        <w:jc w:val="left"/>
        <w:textAlignment w:val="auto"/>
        <w:rPr>
          <w:rFonts w:hint="eastAsia" w:ascii="宋体" w:hAnsi="宋体" w:eastAsia="宋体" w:cs="宋体"/>
          <w:color w:val="auto"/>
          <w:kern w:val="2"/>
          <w:sz w:val="24"/>
          <w:szCs w:val="24"/>
          <w:lang w:val="zh-CN" w:eastAsia="zh-CN" w:bidi="ar-SA"/>
        </w:rPr>
      </w:pPr>
      <w:r>
        <w:rPr>
          <w:rFonts w:hint="eastAsia" w:ascii="宋体" w:hAnsi="宋体" w:eastAsia="宋体" w:cs="宋体"/>
          <w:color w:val="auto"/>
          <w:kern w:val="2"/>
          <w:sz w:val="24"/>
          <w:szCs w:val="24"/>
          <w:lang w:val="en-US" w:eastAsia="zh-CN" w:bidi="ar-SA"/>
        </w:rPr>
        <w:t>2.有意愿加入中价协会员单位的企业请于10月18日前联系省协会</w:t>
      </w:r>
      <w:r>
        <w:rPr>
          <w:rFonts w:hint="eastAsia" w:ascii="宋体" w:hAnsi="宋体" w:eastAsia="宋体" w:cs="宋体"/>
          <w:color w:val="auto"/>
          <w:kern w:val="2"/>
          <w:sz w:val="24"/>
          <w:szCs w:val="24"/>
          <w:lang w:val="zh-CN" w:eastAsia="zh-CN" w:bidi="ar-SA"/>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57" w:beforeLines="50" w:beforeAutospacing="0" w:after="0" w:afterAutospacing="0" w:line="360" w:lineRule="auto"/>
        <w:ind w:left="0" w:right="0" w:firstLine="482"/>
        <w:jc w:val="left"/>
        <w:textAlignment w:val="auto"/>
        <w:rPr>
          <w:rFonts w:hint="eastAsia" w:ascii="宋体" w:hAnsi="宋体" w:eastAsia="宋体" w:cs="宋体"/>
          <w:b/>
          <w:bCs/>
          <w:color w:val="auto"/>
          <w:kern w:val="2"/>
          <w:sz w:val="24"/>
          <w:szCs w:val="24"/>
          <w:lang w:val="en-US" w:eastAsia="zh-CN" w:bidi="ar-SA"/>
        </w:rPr>
      </w:pPr>
      <w:r>
        <w:rPr>
          <w:rFonts w:hint="eastAsia" w:ascii="宋体" w:hAnsi="宋体" w:eastAsia="宋体" w:cs="宋体"/>
          <w:b/>
          <w:bCs/>
          <w:color w:val="auto"/>
          <w:kern w:val="2"/>
          <w:sz w:val="24"/>
          <w:szCs w:val="24"/>
          <w:lang w:val="en-US" w:eastAsia="zh-CN" w:bidi="ar-SA"/>
        </w:rPr>
        <w:t>二、进度安排</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80"/>
        <w:jc w:val="left"/>
        <w:textAlignment w:val="auto"/>
        <w:rPr>
          <w:rFonts w:hint="eastAsia" w:ascii="宋体" w:hAnsi="宋体" w:eastAsia="宋体" w:cs="宋体"/>
          <w:color w:val="auto"/>
          <w:kern w:val="2"/>
          <w:sz w:val="24"/>
          <w:szCs w:val="24"/>
          <w:u w:val="single"/>
          <w:lang w:val="en-US" w:eastAsia="zh-CN" w:bidi="ar-SA"/>
        </w:rPr>
      </w:pPr>
      <w:r>
        <w:rPr>
          <w:rFonts w:hint="eastAsia" w:ascii="宋体" w:hAnsi="宋体" w:eastAsia="宋体" w:cs="宋体"/>
          <w:color w:val="auto"/>
          <w:kern w:val="2"/>
          <w:sz w:val="24"/>
          <w:szCs w:val="24"/>
          <w:u w:val="single"/>
          <w:lang w:val="en-US" w:eastAsia="zh-CN" w:bidi="ar-SA"/>
        </w:rPr>
        <w:t>1.企业申请评价阶段：2019年10月12日至20日（在此期间内网上申报并寄送纸质申报书至省协会）</w:t>
      </w:r>
      <w:r>
        <w:rPr>
          <w:rFonts w:hint="eastAsia" w:ascii="宋体" w:hAnsi="宋体" w:eastAsia="宋体" w:cs="宋体"/>
          <w:color w:val="auto"/>
          <w:kern w:val="2"/>
          <w:sz w:val="24"/>
          <w:szCs w:val="24"/>
          <w:u w:val="none"/>
          <w:lang w:val="en-US" w:eastAsia="zh-CN" w:bidi="ar-SA"/>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8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2.市协会评价阶段：2019年10月21日至25日；</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80"/>
        <w:jc w:val="left"/>
        <w:textAlignment w:val="auto"/>
        <w:rPr>
          <w:rFonts w:hint="default"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3.省协会复核阶段：2019年10月26日至29日；</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8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4.中价协公示阶段：2019年11月。</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57" w:beforeLines="50" w:beforeAutospacing="0" w:after="0" w:afterAutospacing="0" w:line="360" w:lineRule="auto"/>
        <w:ind w:left="0" w:right="0" w:firstLine="482"/>
        <w:jc w:val="left"/>
        <w:textAlignment w:val="auto"/>
        <w:rPr>
          <w:rFonts w:hint="default" w:ascii="宋体" w:hAnsi="宋体" w:eastAsia="宋体" w:cs="宋体"/>
          <w:b/>
          <w:bCs/>
          <w:kern w:val="2"/>
          <w:sz w:val="24"/>
          <w:szCs w:val="24"/>
          <w:lang w:val="en-US" w:eastAsia="zh-CN" w:bidi="ar-SA"/>
        </w:rPr>
      </w:pPr>
      <w:r>
        <w:rPr>
          <w:rFonts w:hint="eastAsia" w:ascii="宋体" w:hAnsi="宋体" w:eastAsia="宋体" w:cs="宋体"/>
          <w:b/>
          <w:bCs/>
          <w:kern w:val="2"/>
          <w:sz w:val="24"/>
          <w:szCs w:val="24"/>
          <w:lang w:val="en-US" w:eastAsia="zh-CN" w:bidi="ar-SA"/>
        </w:rPr>
        <w:t>三、重要事项说明</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rightChars="0" w:firstLine="480" w:firstLineChars="200"/>
        <w:jc w:val="left"/>
        <w:textAlignment w:val="auto"/>
        <w:rPr>
          <w:rFonts w:hint="eastAsia" w:ascii="宋体" w:hAnsi="宋体" w:eastAsia="宋体" w:cs="宋体"/>
          <w:b/>
          <w:bCs/>
          <w:color w:val="auto"/>
          <w:kern w:val="2"/>
          <w:sz w:val="24"/>
          <w:szCs w:val="24"/>
          <w:lang w:val="en-US" w:eastAsia="zh-CN" w:bidi="ar-SA"/>
        </w:rPr>
      </w:pPr>
      <w:r>
        <w:rPr>
          <w:rFonts w:hint="eastAsia" w:ascii="宋体" w:hAnsi="宋体" w:eastAsia="宋体" w:cs="宋体"/>
          <w:b w:val="0"/>
          <w:bCs w:val="0"/>
          <w:kern w:val="2"/>
          <w:sz w:val="24"/>
          <w:szCs w:val="24"/>
          <w:lang w:val="en-US" w:eastAsia="zh-CN" w:bidi="ar-SA"/>
        </w:rPr>
        <w:t>1.请各参评企业于2019年</w:t>
      </w:r>
      <w:r>
        <w:rPr>
          <w:rFonts w:hint="eastAsia" w:ascii="宋体" w:hAnsi="宋体" w:eastAsia="宋体" w:cs="宋体"/>
          <w:b w:val="0"/>
          <w:bCs w:val="0"/>
          <w:color w:val="auto"/>
          <w:kern w:val="2"/>
          <w:sz w:val="24"/>
          <w:szCs w:val="24"/>
          <w:lang w:val="en-US" w:eastAsia="zh-CN" w:bidi="ar-SA"/>
        </w:rPr>
        <w:t>10月21日前在中价协信用评价系统中完成网上申报，网址:</w:t>
      </w:r>
      <w:r>
        <w:rPr>
          <w:rFonts w:hint="eastAsia" w:ascii="Microsoft YaHei UI Light" w:hAnsi="Microsoft YaHei UI Light" w:eastAsia="Microsoft YaHei UI Light" w:cs="Microsoft YaHei UI Light"/>
          <w:b w:val="0"/>
          <w:bCs w:val="0"/>
          <w:color w:val="auto"/>
          <w:kern w:val="2"/>
          <w:sz w:val="24"/>
          <w:szCs w:val="24"/>
          <w:lang w:val="en-US" w:eastAsia="zh-CN" w:bidi="ar-SA"/>
        </w:rPr>
        <w:t xml:space="preserve"> </w:t>
      </w:r>
      <w:r>
        <w:rPr>
          <w:rFonts w:hint="eastAsia" w:ascii="Microsoft YaHei UI Light" w:hAnsi="Microsoft YaHei UI Light" w:eastAsia="Microsoft YaHei UI Light" w:cs="Microsoft YaHei UI Light"/>
          <w:b w:val="0"/>
          <w:bCs w:val="0"/>
          <w:color w:val="auto"/>
          <w:kern w:val="2"/>
          <w:sz w:val="24"/>
          <w:szCs w:val="24"/>
          <w:u w:val="single"/>
          <w:lang w:val="en-US" w:eastAsia="zh-CN" w:bidi="ar-SA"/>
        </w:rPr>
        <w:t>http://cre.ccea.pro/</w:t>
      </w:r>
      <w:r>
        <w:rPr>
          <w:rFonts w:hint="eastAsia" w:ascii="Microsoft YaHei UI Light" w:hAnsi="Microsoft YaHei UI Light" w:eastAsia="Microsoft YaHei UI Light" w:cs="Microsoft YaHei UI Light"/>
          <w:b w:val="0"/>
          <w:bCs w:val="0"/>
          <w:color w:val="auto"/>
          <w:kern w:val="2"/>
          <w:sz w:val="24"/>
          <w:szCs w:val="24"/>
          <w:lang w:val="en-US" w:eastAsia="zh-CN" w:bidi="ar-SA"/>
        </w:rPr>
        <w:t>，</w:t>
      </w:r>
      <w:r>
        <w:rPr>
          <w:rFonts w:hint="eastAsia" w:ascii="宋体" w:hAnsi="宋体" w:eastAsia="宋体" w:cs="宋体"/>
          <w:b w:val="0"/>
          <w:bCs w:val="0"/>
          <w:color w:val="auto"/>
          <w:kern w:val="2"/>
          <w:sz w:val="24"/>
          <w:szCs w:val="24"/>
          <w:lang w:val="en-US" w:eastAsia="zh-CN" w:bidi="ar-SA"/>
        </w:rPr>
        <w:t>并将申报书（信息填报完毕后，在评价系统中打印申报书）</w:t>
      </w:r>
      <w:r>
        <w:rPr>
          <w:rFonts w:hint="eastAsia" w:ascii="宋体" w:hAnsi="宋体" w:eastAsia="宋体" w:cs="宋体"/>
          <w:b/>
          <w:bCs/>
          <w:color w:val="auto"/>
          <w:kern w:val="2"/>
          <w:sz w:val="24"/>
          <w:szCs w:val="24"/>
          <w:u w:val="single"/>
          <w:lang w:val="en-US" w:eastAsia="zh-CN" w:bidi="ar-SA"/>
        </w:rPr>
        <w:t>一式两份</w:t>
      </w:r>
      <w:r>
        <w:rPr>
          <w:rFonts w:hint="eastAsia" w:ascii="宋体" w:hAnsi="宋体" w:eastAsia="宋体" w:cs="宋体"/>
          <w:b/>
          <w:bCs/>
          <w:color w:val="auto"/>
          <w:kern w:val="2"/>
          <w:sz w:val="24"/>
          <w:szCs w:val="24"/>
          <w:lang w:val="en-US" w:eastAsia="zh-CN" w:bidi="ar-SA"/>
        </w:rPr>
        <w:t>寄送至省协会</w:t>
      </w:r>
      <w:r>
        <w:rPr>
          <w:rFonts w:hint="eastAsia" w:ascii="宋体" w:hAnsi="宋体" w:eastAsia="宋体" w:cs="宋体"/>
          <w:b w:val="0"/>
          <w:bCs w:val="0"/>
          <w:color w:val="auto"/>
          <w:kern w:val="2"/>
          <w:sz w:val="24"/>
          <w:szCs w:val="24"/>
          <w:lang w:val="en-US" w:eastAsia="zh-CN" w:bidi="ar-SA"/>
        </w:rPr>
        <w:t>。收到申报书后，</w:t>
      </w:r>
      <w:r>
        <w:rPr>
          <w:rFonts w:hint="eastAsia" w:ascii="宋体" w:hAnsi="宋体" w:eastAsia="宋体" w:cs="宋体"/>
          <w:b/>
          <w:bCs/>
          <w:color w:val="auto"/>
          <w:kern w:val="2"/>
          <w:sz w:val="24"/>
          <w:szCs w:val="24"/>
          <w:lang w:val="en-US" w:eastAsia="zh-CN" w:bidi="ar-SA"/>
        </w:rPr>
        <w:t>省协会在系统中锁定企业信息，并由市协会开始赋分。</w:t>
      </w:r>
    </w:p>
    <w:p>
      <w:pPr>
        <w:pStyle w:val="5"/>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60" w:lineRule="auto"/>
        <w:ind w:firstLine="480"/>
        <w:textAlignment w:val="baseline"/>
        <w:rPr>
          <w:rFonts w:hint="eastAsia" w:ascii="Microsoft YaHei UI" w:hAnsi="Microsoft YaHei UI" w:eastAsia="Microsoft YaHei UI" w:cs="Microsoft YaHei UI"/>
          <w:color w:val="auto"/>
          <w:kern w:val="2"/>
          <w:sz w:val="24"/>
          <w:szCs w:val="24"/>
          <w:u w:val="single"/>
          <w:lang w:val="en-US" w:eastAsia="zh-CN" w:bidi="ar-SA"/>
        </w:rPr>
      </w:pPr>
      <w:r>
        <w:rPr>
          <w:rFonts w:hint="eastAsia" w:ascii="宋体" w:hAnsi="宋体" w:eastAsia="宋体" w:cs="宋体"/>
          <w:color w:val="auto"/>
          <w:kern w:val="2"/>
          <w:sz w:val="24"/>
          <w:szCs w:val="24"/>
          <w:lang w:val="en-US" w:eastAsia="zh-CN" w:bidi="ar-SA"/>
        </w:rPr>
        <w:fldChar w:fldCharType="begin"/>
      </w:r>
      <w:r>
        <w:rPr>
          <w:rFonts w:hint="eastAsia" w:ascii="宋体" w:hAnsi="宋体" w:eastAsia="宋体" w:cs="宋体"/>
          <w:color w:val="auto"/>
          <w:kern w:val="2"/>
          <w:sz w:val="24"/>
          <w:szCs w:val="24"/>
          <w:lang w:val="en-US" w:eastAsia="zh-CN" w:bidi="ar-SA"/>
        </w:rPr>
        <w:instrText xml:space="preserve"> HYPERLINK "mailto:2.本次信用评价工作本着减轻企业负担，强化企业诚信监督机制，企业信用评价申报实行告知承诺制，申报评价数据的真实性及准确性由企业承诺，多数证明材料不需上报，需企业自行留存备查；但评价标准中省级自定义内容需于10月20日前报送相应的电子证明材料（详见附件2）至邮邮箱zjsjsgczjglxh02@163.com" </w:instrText>
      </w:r>
      <w:r>
        <w:rPr>
          <w:rFonts w:hint="eastAsia" w:ascii="宋体" w:hAnsi="宋体" w:eastAsia="宋体" w:cs="宋体"/>
          <w:color w:val="auto"/>
          <w:kern w:val="2"/>
          <w:sz w:val="24"/>
          <w:szCs w:val="24"/>
          <w:lang w:val="en-US" w:eastAsia="zh-CN" w:bidi="ar-SA"/>
        </w:rPr>
        <w:fldChar w:fldCharType="separate"/>
      </w:r>
      <w:r>
        <w:rPr>
          <w:rStyle w:val="10"/>
          <w:rFonts w:hint="eastAsia" w:ascii="宋体" w:hAnsi="宋体" w:eastAsia="宋体" w:cs="宋体"/>
          <w:color w:val="auto"/>
          <w:kern w:val="2"/>
          <w:sz w:val="24"/>
          <w:szCs w:val="24"/>
          <w:u w:val="none"/>
          <w:lang w:val="en-US" w:eastAsia="zh-CN" w:bidi="ar-SA"/>
        </w:rPr>
        <w:t>2.本次信用评价工作本着减轻企业负担，强化企业诚信监督机制，企业信用评价申报实行告知承诺制，申报评价数据的真实性及准确性由企业承诺，多数证明材料不需上报，需企业自行留存备查；</w:t>
      </w:r>
      <w:r>
        <w:rPr>
          <w:rStyle w:val="10"/>
          <w:rFonts w:hint="eastAsia" w:ascii="宋体" w:hAnsi="宋体" w:eastAsia="宋体" w:cs="宋体"/>
          <w:b/>
          <w:bCs/>
          <w:color w:val="auto"/>
          <w:kern w:val="2"/>
          <w:sz w:val="24"/>
          <w:szCs w:val="24"/>
          <w:u w:val="none"/>
          <w:lang w:val="en-US" w:eastAsia="zh-CN" w:bidi="ar-SA"/>
        </w:rPr>
        <w:t>但评价标准中省级自定义内容需于10月20日前报送相应的电子材料（详见附件2）至省协会联系邮箱</w:t>
      </w:r>
      <w:r>
        <w:rPr>
          <w:rFonts w:hint="eastAsia" w:ascii="宋体" w:hAnsi="宋体" w:eastAsia="宋体" w:cs="宋体"/>
          <w:color w:val="auto"/>
          <w:kern w:val="2"/>
          <w:sz w:val="24"/>
          <w:szCs w:val="24"/>
          <w:lang w:val="en-US" w:eastAsia="zh-CN" w:bidi="ar-SA"/>
        </w:rPr>
        <w:fldChar w:fldCharType="end"/>
      </w:r>
      <w:r>
        <w:rPr>
          <w:rFonts w:hint="eastAsia" w:ascii="宋体" w:hAnsi="宋体" w:eastAsia="宋体" w:cs="宋体"/>
          <w:color w:val="auto"/>
          <w:kern w:val="2"/>
          <w:sz w:val="24"/>
          <w:szCs w:val="24"/>
          <w:lang w:val="en-US" w:eastAsia="zh-CN" w:bidi="ar-SA"/>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firstLine="480" w:firstLineChars="200"/>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3.服务系统做为支撑，相关数据自动导入。</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80"/>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4.评价标准中</w:t>
      </w:r>
      <w:r>
        <w:rPr>
          <w:rFonts w:hint="eastAsia" w:ascii="宋体" w:hAnsi="宋体" w:eastAsia="宋体" w:cs="宋体"/>
          <w:kern w:val="2"/>
          <w:sz w:val="24"/>
          <w:szCs w:val="24"/>
          <w:lang w:val="zh-CN" w:eastAsia="zh-CN" w:bidi="ar-SA"/>
        </w:rPr>
        <w:t>“二</w:t>
      </w:r>
      <w:r>
        <w:rPr>
          <w:rFonts w:hint="eastAsia" w:ascii="宋体" w:hAnsi="宋体" w:eastAsia="宋体" w:cs="宋体"/>
          <w:kern w:val="2"/>
          <w:sz w:val="24"/>
          <w:szCs w:val="24"/>
          <w:lang w:val="en-US" w:eastAsia="zh-CN" w:bidi="ar-SA"/>
        </w:rPr>
        <w:t>级注册造价工程师”</w:t>
      </w:r>
      <w:r>
        <w:rPr>
          <w:rFonts w:hint="eastAsia" w:ascii="宋体" w:hAnsi="宋体" w:eastAsia="宋体" w:cs="宋体"/>
          <w:kern w:val="2"/>
          <w:sz w:val="24"/>
          <w:szCs w:val="24"/>
          <w:lang w:val="en-US" w:eastAsia="en-US" w:bidi="ar-SA"/>
        </w:rPr>
        <w:t>，</w:t>
      </w:r>
      <w:r>
        <w:rPr>
          <w:rFonts w:hint="eastAsia" w:ascii="宋体" w:hAnsi="宋体" w:eastAsia="宋体" w:cs="宋体"/>
          <w:kern w:val="2"/>
          <w:sz w:val="24"/>
          <w:szCs w:val="24"/>
          <w:lang w:val="en-US" w:eastAsia="zh-CN" w:bidi="ar-SA"/>
        </w:rPr>
        <w:t>可暂用造价从业人员代替。</w:t>
      </w:r>
    </w:p>
    <w:p>
      <w:pPr>
        <w:pStyle w:val="11"/>
        <w:keepNext w:val="0"/>
        <w:keepLines w:val="0"/>
        <w:pageBreakBefore w:val="0"/>
        <w:widowControl w:val="0"/>
        <w:shd w:val="clear" w:color="auto" w:fill="auto"/>
        <w:tabs>
          <w:tab w:val="left" w:pos="1148"/>
        </w:tabs>
        <w:kinsoku/>
        <w:wordWrap/>
        <w:overflowPunct/>
        <w:topLinePunct w:val="0"/>
        <w:autoSpaceDE/>
        <w:autoSpaceDN/>
        <w:bidi w:val="0"/>
        <w:adjustRightInd/>
        <w:snapToGrid/>
        <w:spacing w:before="0" w:after="0" w:line="360" w:lineRule="auto"/>
        <w:ind w:left="0" w:leftChars="0" w:right="0" w:firstLine="480" w:firstLineChars="200"/>
        <w:jc w:val="both"/>
        <w:textAlignment w:val="auto"/>
        <w:rPr>
          <w:rFonts w:hint="eastAsia" w:ascii="宋体" w:hAnsi="宋体" w:eastAsia="宋体" w:cs="宋体"/>
          <w:kern w:val="2"/>
          <w:sz w:val="24"/>
          <w:szCs w:val="24"/>
          <w:u w:val="none"/>
          <w:shd w:val="clear"/>
          <w:lang w:val="en-US" w:eastAsia="zh-CN" w:bidi="ar-SA"/>
        </w:rPr>
      </w:pPr>
      <w:r>
        <w:rPr>
          <w:rFonts w:hint="eastAsia" w:ascii="宋体" w:hAnsi="宋体" w:eastAsia="宋体" w:cs="宋体"/>
          <w:kern w:val="2"/>
          <w:sz w:val="24"/>
          <w:szCs w:val="24"/>
          <w:u w:val="none"/>
          <w:shd w:val="clear"/>
          <w:lang w:val="en-US" w:eastAsia="zh-CN" w:bidi="ar-SA"/>
        </w:rPr>
        <w:t>5.自2019年起，工程造价咨询企业信用等级</w:t>
      </w:r>
      <w:r>
        <w:rPr>
          <w:rFonts w:hint="eastAsia" w:ascii="宋体" w:hAnsi="宋体" w:eastAsia="宋体" w:cs="宋体"/>
          <w:kern w:val="2"/>
          <w:sz w:val="24"/>
          <w:szCs w:val="24"/>
          <w:u w:val="single"/>
          <w:shd w:val="clear"/>
          <w:lang w:val="en-US" w:eastAsia="zh-CN" w:bidi="ar-SA"/>
        </w:rPr>
        <w:t>实行动态管理制度，不再发放信用评价证书</w:t>
      </w:r>
      <w:r>
        <w:rPr>
          <w:rFonts w:hint="eastAsia" w:ascii="宋体" w:hAnsi="宋体" w:eastAsia="宋体" w:cs="宋体"/>
          <w:kern w:val="2"/>
          <w:sz w:val="24"/>
          <w:szCs w:val="24"/>
          <w:u w:val="none"/>
          <w:shd w:val="clear"/>
          <w:lang w:val="en-US" w:eastAsia="zh-CN" w:bidi="ar-SA"/>
        </w:rPr>
        <w:t>，企业取得信用等级后可随时登陆中价协信用评价系统打印信用等级证明或更新相关材料，信用评价机构定期调整企业评价分值和相应信用等级。</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jc w:val="both"/>
        <w:textAlignment w:val="auto"/>
        <w:rPr>
          <w:rFonts w:hint="eastAsia" w:ascii="宋体" w:hAnsi="宋体" w:eastAsia="宋体" w:cs="宋体"/>
          <w:kern w:val="2"/>
          <w:sz w:val="24"/>
          <w:szCs w:val="24"/>
          <w:u w:val="none"/>
          <w:shd w:val="clear"/>
          <w:lang w:val="en-US" w:eastAsia="zh-CN" w:bidi="ar-SA"/>
        </w:rPr>
      </w:pPr>
      <w:r>
        <w:rPr>
          <w:rFonts w:hint="eastAsia" w:ascii="宋体" w:hAnsi="宋体" w:eastAsia="宋体" w:cs="宋体"/>
          <w:kern w:val="2"/>
          <w:sz w:val="24"/>
          <w:szCs w:val="24"/>
          <w:u w:val="none"/>
          <w:shd w:val="clear"/>
          <w:lang w:val="en-US" w:eastAsia="zh-CN" w:bidi="ar-SA"/>
        </w:rPr>
        <w:t>6.已取得信用等级，且2019年底未到期的企业，可暂不参与本年度信用评价工作，</w:t>
      </w:r>
      <w:r>
        <w:rPr>
          <w:rFonts w:hint="eastAsia" w:asciiTheme="minorEastAsia" w:hAnsiTheme="minorEastAsia" w:cstheme="minorEastAsia"/>
          <w:sz w:val="24"/>
          <w:szCs w:val="24"/>
          <w:lang w:val="en-US" w:eastAsia="zh-CN"/>
        </w:rPr>
        <w:t>有希望升级的，可以申请参加。</w:t>
      </w:r>
    </w:p>
    <w:p>
      <w:pPr>
        <w:keepNext w:val="0"/>
        <w:keepLines w:val="0"/>
        <w:pageBreakBefore w:val="0"/>
        <w:widowControl w:val="0"/>
        <w:kinsoku/>
        <w:wordWrap/>
        <w:overflowPunct/>
        <w:topLinePunct w:val="0"/>
        <w:autoSpaceDE/>
        <w:autoSpaceDN/>
        <w:bidi w:val="0"/>
        <w:adjustRightInd/>
        <w:snapToGrid/>
        <w:spacing w:before="157" w:beforeLines="50" w:line="360" w:lineRule="auto"/>
        <w:ind w:firstLine="482" w:firstLineChars="200"/>
        <w:textAlignment w:val="auto"/>
        <w:rPr>
          <w:rFonts w:hint="default" w:asciiTheme="minorEastAsia" w:hAnsiTheme="minorEastAsia" w:eastAsiaTheme="minorEastAsia" w:cstheme="minorEastAsia"/>
          <w:b/>
          <w:bCs/>
          <w:i w:val="0"/>
          <w:caps w:val="0"/>
          <w:color w:val="auto"/>
          <w:spacing w:val="0"/>
          <w:sz w:val="24"/>
          <w:szCs w:val="24"/>
          <w:shd w:val="clear" w:fill="FFFFFF"/>
          <w:lang w:val="en-US" w:eastAsia="zh-CN"/>
        </w:rPr>
      </w:pPr>
      <w:r>
        <w:rPr>
          <w:rFonts w:hint="eastAsia" w:asciiTheme="minorEastAsia" w:hAnsiTheme="minorEastAsia" w:cstheme="minorEastAsia"/>
          <w:b/>
          <w:bCs/>
          <w:i w:val="0"/>
          <w:caps w:val="0"/>
          <w:color w:val="auto"/>
          <w:spacing w:val="0"/>
          <w:sz w:val="24"/>
          <w:szCs w:val="24"/>
          <w:shd w:val="clear" w:fill="FFFFFF"/>
          <w:lang w:val="en-US" w:eastAsia="zh-CN"/>
        </w:rPr>
        <w:t>四</w:t>
      </w:r>
      <w:r>
        <w:rPr>
          <w:rFonts w:hint="eastAsia" w:asciiTheme="minorEastAsia" w:hAnsiTheme="minorEastAsia" w:eastAsiaTheme="minorEastAsia" w:cstheme="minorEastAsia"/>
          <w:b/>
          <w:bCs/>
          <w:i w:val="0"/>
          <w:caps w:val="0"/>
          <w:color w:val="auto"/>
          <w:spacing w:val="0"/>
          <w:sz w:val="24"/>
          <w:szCs w:val="24"/>
          <w:shd w:val="clear" w:fill="FFFFFF"/>
          <w:lang w:val="en-US" w:eastAsia="zh-CN"/>
        </w:rPr>
        <w:t>、联系方式</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i w:val="0"/>
          <w:caps w:val="0"/>
          <w:color w:val="auto"/>
          <w:spacing w:val="0"/>
          <w:sz w:val="24"/>
          <w:szCs w:val="24"/>
          <w:shd w:val="clear" w:fill="FFFFFF"/>
          <w:lang w:val="en-US" w:eastAsia="zh-CN"/>
        </w:rPr>
      </w:pPr>
      <w:r>
        <w:rPr>
          <w:rFonts w:hint="eastAsia" w:asciiTheme="minorEastAsia" w:hAnsiTheme="minorEastAsia" w:cstheme="minorEastAsia"/>
          <w:i w:val="0"/>
          <w:caps w:val="0"/>
          <w:color w:val="auto"/>
          <w:spacing w:val="0"/>
          <w:sz w:val="24"/>
          <w:szCs w:val="24"/>
          <w:shd w:val="clear" w:fill="FFFFFF"/>
          <w:lang w:val="en-US" w:eastAsia="zh-CN"/>
        </w:rPr>
        <w:t>1.联系电话：</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i w:val="0"/>
          <w:caps w:val="0"/>
          <w:color w:val="auto"/>
          <w:spacing w:val="0"/>
          <w:sz w:val="24"/>
          <w:szCs w:val="24"/>
          <w:shd w:val="clear" w:fill="FFFFFF"/>
          <w:lang w:val="en-US" w:eastAsia="zh-CN"/>
        </w:rPr>
      </w:pPr>
      <w:r>
        <w:rPr>
          <w:rFonts w:hint="eastAsia" w:asciiTheme="minorEastAsia" w:hAnsiTheme="minorEastAsia" w:eastAsiaTheme="minorEastAsia" w:cstheme="minorEastAsia"/>
          <w:i w:val="0"/>
          <w:caps w:val="0"/>
          <w:color w:val="auto"/>
          <w:spacing w:val="0"/>
          <w:sz w:val="24"/>
          <w:szCs w:val="24"/>
          <w:shd w:val="clear" w:fill="FFFFFF"/>
          <w:lang w:val="en-US" w:eastAsia="zh-CN"/>
        </w:rPr>
        <w:t>自律发展部</w:t>
      </w:r>
      <w:r>
        <w:rPr>
          <w:rFonts w:hint="eastAsia" w:asciiTheme="minorEastAsia" w:hAnsiTheme="minorEastAsia" w:cstheme="minorEastAsia"/>
          <w:i w:val="0"/>
          <w:caps w:val="0"/>
          <w:color w:val="auto"/>
          <w:spacing w:val="0"/>
          <w:sz w:val="24"/>
          <w:szCs w:val="24"/>
          <w:shd w:val="clear" w:fill="FFFFFF"/>
          <w:lang w:val="en-US" w:eastAsia="zh-CN"/>
        </w:rPr>
        <w:t xml:space="preserve">  </w:t>
      </w:r>
      <w:r>
        <w:rPr>
          <w:rFonts w:hint="eastAsia" w:asciiTheme="minorEastAsia" w:hAnsiTheme="minorEastAsia" w:eastAsiaTheme="minorEastAsia" w:cstheme="minorEastAsia"/>
          <w:i w:val="0"/>
          <w:caps w:val="0"/>
          <w:color w:val="auto"/>
          <w:spacing w:val="0"/>
          <w:sz w:val="24"/>
          <w:szCs w:val="24"/>
          <w:shd w:val="clear" w:fill="FFFFFF"/>
          <w:lang w:val="en-US" w:eastAsia="zh-CN"/>
        </w:rPr>
        <w:t>钱玲琳 0571-86651887</w:t>
      </w:r>
    </w:p>
    <w:p>
      <w:pPr>
        <w:pStyle w:val="5"/>
        <w:keepNext w:val="0"/>
        <w:keepLines w:val="0"/>
        <w:pageBreakBefore w:val="0"/>
        <w:widowControl/>
        <w:shd w:val="clear" w:color="auto" w:fill="FFFFFF"/>
        <w:kinsoku/>
        <w:wordWrap/>
        <w:overflowPunct/>
        <w:topLinePunct w:val="0"/>
        <w:autoSpaceDE/>
        <w:autoSpaceDN/>
        <w:bidi w:val="0"/>
        <w:adjustRightInd/>
        <w:snapToGrid/>
        <w:spacing w:before="0" w:beforeAutospacing="0" w:afterAutospacing="0" w:line="360" w:lineRule="auto"/>
        <w:ind w:firstLine="480" w:firstLineChars="200"/>
        <w:textAlignment w:val="baseline"/>
        <w:rPr>
          <w:rFonts w:hint="eastAsia" w:asciiTheme="minorEastAsia" w:hAnsiTheme="minorEastAsia" w:eastAsiaTheme="minorEastAsia" w:cstheme="minorEastAsia"/>
          <w:color w:val="auto"/>
          <w:kern w:val="2"/>
          <w:sz w:val="24"/>
          <w:szCs w:val="24"/>
          <w:u w:val="none"/>
          <w:lang w:val="en-US" w:eastAsia="zh-CN" w:bidi="ar-SA"/>
        </w:rPr>
      </w:pPr>
      <w:r>
        <w:rPr>
          <w:rFonts w:hint="eastAsia" w:asciiTheme="minorEastAsia" w:hAnsiTheme="minorEastAsia" w:cstheme="minorEastAsia"/>
          <w:i w:val="0"/>
          <w:caps w:val="0"/>
          <w:color w:val="auto"/>
          <w:spacing w:val="0"/>
          <w:sz w:val="24"/>
          <w:szCs w:val="24"/>
          <w:shd w:val="clear" w:fill="FFFFFF"/>
          <w:lang w:val="en-US" w:eastAsia="zh-CN"/>
        </w:rPr>
        <w:t xml:space="preserve">            </w:t>
      </w:r>
      <w:r>
        <w:rPr>
          <w:rFonts w:hint="eastAsia" w:asciiTheme="minorEastAsia" w:hAnsiTheme="minorEastAsia" w:eastAsiaTheme="minorEastAsia" w:cstheme="minorEastAsia"/>
          <w:color w:val="auto"/>
          <w:kern w:val="2"/>
          <w:sz w:val="24"/>
          <w:szCs w:val="24"/>
          <w:u w:val="none"/>
          <w:lang w:val="en-US" w:eastAsia="zh-CN" w:bidi="ar-SA"/>
        </w:rPr>
        <w:t>朱海燕 0571-88079639</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rightChars="0" w:firstLine="480" w:firstLineChars="20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2.联系地址：杭州市拱墅区莫干山路693号402室</w:t>
      </w:r>
    </w:p>
    <w:p>
      <w:pPr>
        <w:pStyle w:val="5"/>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360" w:lineRule="auto"/>
        <w:ind w:firstLine="480"/>
        <w:textAlignment w:val="baseline"/>
        <w:rPr>
          <w:rFonts w:hint="eastAsia" w:ascii="Malgun Gothic Semilight" w:hAnsi="Malgun Gothic Semilight" w:eastAsia="Malgun Gothic Semilight" w:cs="Malgun Gothic Semilight"/>
          <w:color w:val="auto"/>
          <w:kern w:val="2"/>
          <w:sz w:val="24"/>
          <w:szCs w:val="24"/>
          <w:u w:val="single"/>
          <w:lang w:val="en-US" w:eastAsia="zh-CN" w:bidi="ar-SA"/>
        </w:rPr>
      </w:pPr>
      <w:r>
        <w:rPr>
          <w:rFonts w:hint="eastAsia" w:ascii="宋体" w:hAnsi="宋体" w:eastAsia="宋体" w:cs="宋体"/>
          <w:color w:val="auto"/>
          <w:kern w:val="2"/>
          <w:sz w:val="24"/>
          <w:szCs w:val="24"/>
          <w:lang w:val="en-US" w:eastAsia="zh-CN" w:bidi="ar-SA"/>
        </w:rPr>
        <w:t>3.联系邮箱：</w:t>
      </w:r>
      <w:r>
        <w:rPr>
          <w:rFonts w:hint="eastAsia" w:ascii="Microsoft YaHei UI Light" w:hAnsi="Microsoft YaHei UI Light" w:eastAsia="Microsoft YaHei UI Light" w:cs="Microsoft YaHei UI Light"/>
          <w:color w:val="auto"/>
          <w:kern w:val="2"/>
          <w:sz w:val="24"/>
          <w:szCs w:val="24"/>
          <w:u w:val="single"/>
          <w:lang w:val="en-US" w:eastAsia="zh-CN" w:bidi="ar-SA"/>
        </w:rPr>
        <w:t>zjsjsgczjglxh02@163.com</w:t>
      </w:r>
    </w:p>
    <w:p>
      <w:pPr>
        <w:pStyle w:val="11"/>
        <w:keepNext w:val="0"/>
        <w:keepLines w:val="0"/>
        <w:pageBreakBefore w:val="0"/>
        <w:widowControl w:val="0"/>
        <w:shd w:val="clear" w:color="auto" w:fill="auto"/>
        <w:tabs>
          <w:tab w:val="left" w:pos="1144"/>
        </w:tabs>
        <w:kinsoku/>
        <w:wordWrap/>
        <w:overflowPunct/>
        <w:topLinePunct w:val="0"/>
        <w:autoSpaceDE/>
        <w:autoSpaceDN/>
        <w:bidi w:val="0"/>
        <w:adjustRightInd/>
        <w:snapToGrid/>
        <w:spacing w:before="0" w:after="0" w:line="360" w:lineRule="auto"/>
        <w:ind w:left="0" w:leftChars="0" w:right="0" w:firstLine="0" w:firstLineChars="0"/>
        <w:jc w:val="both"/>
        <w:textAlignment w:val="auto"/>
        <w:rPr>
          <w:rFonts w:hint="eastAsia" w:ascii="宋体" w:hAnsi="宋体" w:eastAsia="宋体" w:cs="宋体"/>
          <w:kern w:val="2"/>
          <w:sz w:val="24"/>
          <w:szCs w:val="24"/>
          <w:u w:val="none"/>
          <w:shd w:val="clear"/>
          <w:lang w:val="en-US" w:eastAsia="zh-CN" w:bidi="ar-SA"/>
        </w:rPr>
      </w:pPr>
    </w:p>
    <w:p>
      <w:pPr>
        <w:pStyle w:val="11"/>
        <w:keepNext w:val="0"/>
        <w:keepLines w:val="0"/>
        <w:pageBreakBefore w:val="0"/>
        <w:widowControl w:val="0"/>
        <w:shd w:val="clear" w:color="auto" w:fill="auto"/>
        <w:tabs>
          <w:tab w:val="left" w:pos="1144"/>
        </w:tabs>
        <w:kinsoku/>
        <w:wordWrap/>
        <w:overflowPunct/>
        <w:topLinePunct w:val="0"/>
        <w:autoSpaceDE/>
        <w:autoSpaceDN/>
        <w:bidi w:val="0"/>
        <w:adjustRightInd/>
        <w:snapToGrid/>
        <w:spacing w:before="0" w:after="0" w:line="360" w:lineRule="auto"/>
        <w:ind w:left="0" w:leftChars="0" w:right="0" w:firstLine="480" w:firstLineChars="200"/>
        <w:jc w:val="both"/>
        <w:textAlignment w:val="auto"/>
        <w:rPr>
          <w:rFonts w:hint="default" w:ascii="宋体" w:hAnsi="宋体" w:eastAsia="宋体" w:cs="宋体"/>
          <w:kern w:val="2"/>
          <w:sz w:val="24"/>
          <w:szCs w:val="24"/>
          <w:u w:val="none"/>
          <w:shd w:val="clear"/>
          <w:lang w:val="en-US" w:eastAsia="zh-CN" w:bidi="ar-SA"/>
        </w:rPr>
      </w:pPr>
      <w:r>
        <w:rPr>
          <w:rFonts w:hint="eastAsia" w:ascii="宋体" w:hAnsi="宋体" w:eastAsia="宋体" w:cs="宋体"/>
          <w:kern w:val="2"/>
          <w:sz w:val="24"/>
          <w:szCs w:val="24"/>
          <w:u w:val="none"/>
          <w:shd w:val="clear"/>
          <w:lang w:val="en-US" w:eastAsia="zh-CN" w:bidi="ar-SA"/>
        </w:rPr>
        <w:t>附件1：</w:t>
      </w:r>
      <w:r>
        <w:rPr>
          <w:rFonts w:hint="eastAsia" w:ascii="宋体" w:hAnsi="宋体" w:eastAsia="宋体" w:cs="宋体"/>
          <w:kern w:val="2"/>
          <w:sz w:val="24"/>
          <w:szCs w:val="24"/>
          <w:lang w:val="en-US" w:eastAsia="zh-CN" w:bidi="ar-SA"/>
        </w:rPr>
        <w:t>中价协《工程造价咨询企业信用评价管理办法》</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80"/>
        <w:jc w:val="left"/>
        <w:textAlignment w:val="auto"/>
        <w:rPr>
          <w:rFonts w:hint="default" w:eastAsiaTheme="minorEastAsia"/>
          <w:lang w:val="en-US" w:eastAsia="zh-CN"/>
        </w:rPr>
      </w:pPr>
      <w:r>
        <w:rPr>
          <w:rFonts w:hint="eastAsia"/>
          <w:lang w:val="en-US" w:eastAsia="zh-CN"/>
        </w:rPr>
        <w:t>附件2：省级自定义内容申报材料（电子版）清单</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left"/>
        <w:textAlignment w:val="auto"/>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80"/>
        <w:jc w:val="left"/>
        <w:textAlignment w:val="auto"/>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560"/>
        <w:jc w:val="righ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浙江省建设工程造价管理协会</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560"/>
        <w:jc w:val="righ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2019年10月11日</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default" w:ascii="宋体" w:hAnsi="宋体" w:eastAsia="微软雅黑" w:cs="宋体"/>
          <w:kern w:val="2"/>
          <w:sz w:val="24"/>
          <w:szCs w:val="24"/>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default" w:ascii="宋体" w:hAnsi="宋体" w:eastAsia="微软雅黑" w:cs="宋体"/>
          <w:kern w:val="2"/>
          <w:sz w:val="24"/>
          <w:szCs w:val="24"/>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firstLine="480" w:firstLineChars="200"/>
        <w:jc w:val="left"/>
        <w:textAlignment w:val="auto"/>
        <w:rPr>
          <w:rFonts w:hint="default" w:ascii="宋体" w:hAnsi="宋体" w:eastAsia="宋体" w:cs="宋体"/>
          <w:kern w:val="2"/>
          <w:sz w:val="24"/>
          <w:szCs w:val="24"/>
          <w:u w:val="none"/>
          <w:shd w:val="clear" w:color="auto" w:fill="auto"/>
          <w:lang w:val="en-US" w:eastAsia="zh-CN" w:bidi="ar-SA"/>
        </w:rPr>
      </w:pPr>
      <w:r>
        <w:rPr>
          <w:rFonts w:hint="eastAsia" w:ascii="宋体" w:hAnsi="宋体" w:eastAsia="宋体" w:cs="宋体"/>
          <w:kern w:val="2"/>
          <w:sz w:val="24"/>
          <w:szCs w:val="24"/>
          <w:u w:val="none"/>
          <w:shd w:val="clear" w:color="auto" w:fill="auto"/>
          <w:lang w:val="en-US" w:eastAsia="zh-CN" w:bidi="ar-SA"/>
        </w:rPr>
        <w:t>抄送：各市建设工程造价管理协会</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kern w:val="2"/>
          <w:sz w:val="24"/>
          <w:szCs w:val="24"/>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kern w:val="2"/>
          <w:sz w:val="24"/>
          <w:szCs w:val="24"/>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kern w:val="2"/>
          <w:sz w:val="24"/>
          <w:szCs w:val="24"/>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kern w:val="2"/>
          <w:sz w:val="24"/>
          <w:szCs w:val="24"/>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kern w:val="2"/>
          <w:sz w:val="24"/>
          <w:szCs w:val="24"/>
          <w:lang w:val="en-US" w:eastAsia="zh-CN" w:bidi="ar-SA"/>
        </w:rPr>
      </w:pPr>
      <w:bookmarkStart w:id="0" w:name="_GoBack"/>
      <w:bookmarkEnd w:id="0"/>
      <w:r>
        <w:rPr>
          <w:rFonts w:hint="eastAsia" w:ascii="宋体" w:hAnsi="宋体" w:eastAsia="宋体" w:cs="宋体"/>
          <w:kern w:val="2"/>
          <w:sz w:val="24"/>
          <w:szCs w:val="24"/>
          <w:lang w:val="en-US" w:eastAsia="zh-CN" w:bidi="ar-SA"/>
        </w:rPr>
        <w:t>附件1</w:t>
      </w:r>
    </w:p>
    <w:p>
      <w:pPr>
        <w:autoSpaceDE/>
        <w:autoSpaceDN/>
        <w:spacing w:before="0" w:after="0" w:line="560" w:lineRule="exact"/>
        <w:ind w:left="0" w:right="0"/>
        <w:jc w:val="center"/>
        <w:rPr>
          <w:rFonts w:hint="eastAsia" w:ascii="新宋体" w:hAnsi="新宋体" w:eastAsia="新宋体" w:cs="新宋体"/>
          <w:b/>
          <w:bCs/>
          <w:kern w:val="2"/>
          <w:sz w:val="32"/>
          <w:szCs w:val="32"/>
          <w:lang w:val="en-US" w:bidi="ar-SA"/>
        </w:rPr>
      </w:pPr>
      <w:r>
        <w:rPr>
          <w:rFonts w:hint="eastAsia" w:ascii="新宋体" w:hAnsi="新宋体" w:eastAsia="新宋体" w:cs="新宋体"/>
          <w:b/>
          <w:bCs/>
          <w:kern w:val="2"/>
          <w:sz w:val="32"/>
          <w:szCs w:val="32"/>
          <w:lang w:val="en-US" w:bidi="ar-SA"/>
        </w:rPr>
        <w:t>中国建设工程造价管理协会</w:t>
      </w:r>
    </w:p>
    <w:p>
      <w:pPr>
        <w:autoSpaceDE/>
        <w:autoSpaceDN/>
        <w:spacing w:before="0" w:after="0" w:line="560" w:lineRule="exact"/>
        <w:ind w:left="0" w:right="0"/>
        <w:jc w:val="center"/>
        <w:rPr>
          <w:rFonts w:ascii="方正小标宋_GBK" w:eastAsia="方正小标宋_GBK"/>
          <w:sz w:val="44"/>
          <w:szCs w:val="44"/>
        </w:rPr>
      </w:pPr>
      <w:r>
        <w:rPr>
          <w:rFonts w:hint="eastAsia" w:ascii="新宋体" w:hAnsi="新宋体" w:eastAsia="新宋体" w:cs="新宋体"/>
          <w:b/>
          <w:bCs/>
          <w:kern w:val="2"/>
          <w:sz w:val="32"/>
          <w:szCs w:val="32"/>
          <w:lang w:val="en-US" w:bidi="ar-SA"/>
        </w:rPr>
        <w:t>工程造价咨询企业信用评价管理办法</w:t>
      </w:r>
    </w:p>
    <w:p>
      <w:pPr>
        <w:pStyle w:val="2"/>
        <w:keepNext w:val="0"/>
        <w:keepLines w:val="0"/>
        <w:pageBreakBefore w:val="0"/>
        <w:widowControl/>
        <w:kinsoku/>
        <w:wordWrap/>
        <w:overflowPunct/>
        <w:topLinePunct w:val="0"/>
        <w:autoSpaceDE/>
        <w:autoSpaceDN/>
        <w:bidi w:val="0"/>
        <w:adjustRightInd/>
        <w:snapToGrid/>
        <w:spacing w:before="313" w:beforeLines="100" w:beforeAutospacing="0" w:after="0" w:afterAutospacing="0" w:line="360" w:lineRule="auto"/>
        <w:ind w:left="0" w:right="0"/>
        <w:jc w:val="center"/>
        <w:textAlignment w:val="auto"/>
        <w:outlineLvl w:val="1"/>
        <w:rPr>
          <w:rFonts w:hint="eastAsia" w:asciiTheme="minorEastAsia" w:hAnsiTheme="minorEastAsia" w:eastAsiaTheme="minorEastAsia" w:cstheme="minorEastAsia"/>
          <w:b/>
          <w:bCs/>
          <w:color w:val="000000"/>
          <w:kern w:val="0"/>
          <w:sz w:val="24"/>
          <w:szCs w:val="24"/>
          <w:lang w:val="en-US" w:bidi="ar-SA"/>
        </w:rPr>
      </w:pPr>
      <w:r>
        <w:rPr>
          <w:rFonts w:hint="eastAsia" w:asciiTheme="minorEastAsia" w:hAnsiTheme="minorEastAsia" w:eastAsiaTheme="minorEastAsia" w:cstheme="minorEastAsia"/>
          <w:b/>
          <w:bCs/>
          <w:color w:val="000000"/>
          <w:kern w:val="0"/>
          <w:sz w:val="24"/>
          <w:szCs w:val="24"/>
          <w:lang w:val="en-US" w:bidi="ar-SA"/>
        </w:rPr>
        <w:t>第一章  总则</w:t>
      </w:r>
    </w:p>
    <w:p>
      <w:pPr>
        <w:pStyle w:val="12"/>
        <w:keepNext w:val="0"/>
        <w:keepLines w:val="0"/>
        <w:pageBreakBefore w:val="0"/>
        <w:widowControl w:val="0"/>
        <w:kinsoku/>
        <w:wordWrap/>
        <w:overflowPunct/>
        <w:topLinePunct w:val="0"/>
        <w:autoSpaceDE w:val="0"/>
        <w:autoSpaceDN w:val="0"/>
        <w:bidi w:val="0"/>
        <w:adjustRightInd/>
        <w:snapToGrid/>
        <w:spacing w:before="157" w:beforeLines="50" w:beforeAutospacing="0" w:after="0" w:afterAutospacing="0" w:line="360" w:lineRule="auto"/>
        <w:ind w:firstLine="634"/>
        <w:textAlignment w:val="auto"/>
        <w:rPr>
          <w:rFonts w:hint="eastAsia" w:asciiTheme="minorEastAsia" w:hAnsiTheme="minorEastAsia" w:eastAsiaTheme="minorEastAsia" w:cstheme="minorEastAsia"/>
          <w:color w:val="000000"/>
          <w:sz w:val="24"/>
          <w:szCs w:val="24"/>
          <w:highlight w:val="yellow"/>
        </w:rPr>
      </w:pPr>
      <w:r>
        <w:rPr>
          <w:rFonts w:hint="eastAsia" w:asciiTheme="minorEastAsia" w:hAnsiTheme="minorEastAsia" w:eastAsiaTheme="minorEastAsia" w:cstheme="minorEastAsia"/>
          <w:b/>
          <w:color w:val="000000"/>
          <w:sz w:val="24"/>
          <w:szCs w:val="24"/>
        </w:rPr>
        <w:t>第一条</w:t>
      </w:r>
      <w:r>
        <w:rPr>
          <w:rFonts w:hint="eastAsia" w:asciiTheme="minorEastAsia" w:hAnsiTheme="minorEastAsia" w:eastAsiaTheme="minorEastAsia" w:cstheme="minorEastAsia"/>
          <w:color w:val="000000"/>
          <w:sz w:val="24"/>
          <w:szCs w:val="24"/>
        </w:rPr>
        <w:t xml:space="preserve"> </w:t>
      </w:r>
      <w:r>
        <w:rPr>
          <w:rFonts w:hint="eastAsia" w:asciiTheme="minorEastAsia" w:hAnsiTheme="minorEastAsia" w:eastAsiaTheme="minorEastAsia" w:cstheme="minorEastAsia"/>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为贯彻落实国务院、住房和城乡建设部关于社会信用体系建设的工作部署，指导和规范工程造价咨询企业信用评价工作，推进工程造价咨询行业信用体系建设，规范工程造价咨询企业从业行为，完善行业自律，促进工程造价咨询行业健康发展，根据《国务院关于印发社会信用体系建设规划纲要（2014-2020年）的通知》（国发〔2014〕21号）、《国务院关于建立完善守信联合激励和失信联合惩戒制度加快推进社会诚信建设的指导意见》（国发〔2016〕33号）、《国务院办公厅关于加快推进社会信用体系建设构建以信用为基础的新型监管机制的指导意见》（国办发〔2019〕35号）、《关于推进行业协会商会诚信自律建设工作的意见》（民发〔2014〕225号）、《关于进一步推进工程造价管理改革的指导意见》（建标〔2014〕142号）、《工程造价咨询企业管理办法》（建设部令第149号）等法律、法规、规章和文件的规定，制定本办法。</w:t>
      </w:r>
    </w:p>
    <w:p>
      <w:pPr>
        <w:pStyle w:val="12"/>
        <w:keepNext w:val="0"/>
        <w:keepLines w:val="0"/>
        <w:pageBreakBefore w:val="0"/>
        <w:kinsoku/>
        <w:wordWrap/>
        <w:overflowPunct/>
        <w:topLinePunct w:val="0"/>
        <w:bidi w:val="0"/>
        <w:adjustRightInd/>
        <w:snapToGrid/>
        <w:spacing w:line="360" w:lineRule="auto"/>
        <w:ind w:firstLine="634"/>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第二条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bCs w:val="0"/>
          <w:color w:val="000000"/>
          <w:sz w:val="24"/>
          <w:szCs w:val="24"/>
        </w:rPr>
        <w:t>工程</w:t>
      </w:r>
      <w:r>
        <w:rPr>
          <w:rFonts w:hint="eastAsia" w:asciiTheme="minorEastAsia" w:hAnsiTheme="minorEastAsia" w:eastAsiaTheme="minorEastAsia" w:cstheme="minorEastAsia"/>
          <w:color w:val="000000"/>
          <w:sz w:val="24"/>
          <w:szCs w:val="24"/>
        </w:rPr>
        <w:t>造价咨询企业信用是企业履约能力、履约意愿、历史信用记录等的综合反映。</w:t>
      </w:r>
    </w:p>
    <w:p>
      <w:pPr>
        <w:pStyle w:val="12"/>
        <w:keepNext w:val="0"/>
        <w:keepLines w:val="0"/>
        <w:pageBreakBefore w:val="0"/>
        <w:kinsoku/>
        <w:wordWrap/>
        <w:overflowPunct/>
        <w:topLinePunct w:val="0"/>
        <w:bidi w:val="0"/>
        <w:adjustRightInd/>
        <w:snapToGrid/>
        <w:spacing w:line="360" w:lineRule="auto"/>
        <w:ind w:firstLine="634"/>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第三条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本办法所称的信用评价，是指遵照相关法律、法规，按照本办法规定的程序和方法，对工程造价咨询企业的基本情况、经营管理、良好行为及不良行为等开展评价、确定信用等级及对信用信息进行记录、发布等的活动。</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第四条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本办法适用于中国建设工程造价管理协会（以下简称“中价协”） 对单位会员中自愿参加信用评价的工程造价咨询企业信用进行评价及监督管理。</w:t>
      </w:r>
    </w:p>
    <w:p>
      <w:pPr>
        <w:pStyle w:val="2"/>
        <w:keepNext w:val="0"/>
        <w:keepLines w:val="0"/>
        <w:pageBreakBefore w:val="0"/>
        <w:widowControl/>
        <w:kinsoku/>
        <w:wordWrap/>
        <w:overflowPunct/>
        <w:topLinePunct w:val="0"/>
        <w:autoSpaceDE/>
        <w:autoSpaceDN/>
        <w:bidi w:val="0"/>
        <w:adjustRightInd/>
        <w:snapToGrid/>
        <w:spacing w:before="100" w:beforeAutospacing="1" w:after="100" w:afterAutospacing="1" w:line="360" w:lineRule="auto"/>
        <w:ind w:left="0" w:right="0"/>
        <w:jc w:val="center"/>
        <w:textAlignment w:val="auto"/>
        <w:outlineLvl w:val="1"/>
        <w:rPr>
          <w:rFonts w:hint="eastAsia" w:asciiTheme="minorEastAsia" w:hAnsiTheme="minorEastAsia" w:eastAsiaTheme="minorEastAsia" w:cstheme="minorEastAsia"/>
          <w:b/>
          <w:bCs/>
          <w:color w:val="000000"/>
          <w:kern w:val="0"/>
          <w:sz w:val="24"/>
          <w:szCs w:val="24"/>
          <w:lang w:val="en-US" w:bidi="ar-SA"/>
        </w:rPr>
      </w:pPr>
      <w:r>
        <w:rPr>
          <w:rFonts w:hint="eastAsia" w:asciiTheme="minorEastAsia" w:hAnsiTheme="minorEastAsia" w:eastAsiaTheme="minorEastAsia" w:cstheme="minorEastAsia"/>
          <w:b/>
          <w:bCs/>
          <w:color w:val="000000"/>
          <w:kern w:val="0"/>
          <w:sz w:val="24"/>
          <w:szCs w:val="24"/>
          <w:lang w:val="en-US" w:bidi="ar-SA"/>
        </w:rPr>
        <w:t>第二章  信用评价组织</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第五条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中价协负责工程造价咨询企业信用评价的组织和管理工作，具体工作由各省级工程造价行业协会及中价协各工作委员会进行实施。</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第六条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各省级工程造价行业协会及中价协各工作委员会是信用评价的初评机构，负责本地区、本行业信用评价的初评、上报及相应的监督、核查等工作。中价协负责评价结果的确认和发布。</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第七条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各省级工程造价行业协会可将信用评价的初评工作交由各地市级造价行业协会具体实施，省级工程造价行业协会及中价协各工作委员会负责信用评价工作的评审和上报。</w:t>
      </w:r>
    </w:p>
    <w:p>
      <w:pPr>
        <w:pStyle w:val="12"/>
        <w:keepNext w:val="0"/>
        <w:keepLines w:val="0"/>
        <w:pageBreakBefore w:val="0"/>
        <w:kinsoku/>
        <w:wordWrap/>
        <w:overflowPunct/>
        <w:topLinePunct w:val="0"/>
        <w:bidi w:val="0"/>
        <w:adjustRightInd/>
        <w:snapToGrid/>
        <w:spacing w:line="360" w:lineRule="auto"/>
        <w:ind w:firstLine="634"/>
        <w:textAlignment w:val="auto"/>
        <w:rPr>
          <w:rFonts w:hint="eastAsia" w:asciiTheme="minorEastAsia" w:hAnsiTheme="minorEastAsia" w:eastAsiaTheme="minorEastAsia" w:cstheme="minorEastAsia"/>
          <w:color w:val="000000"/>
          <w:sz w:val="24"/>
          <w:szCs w:val="24"/>
          <w:shd w:val="clear" w:color="auto" w:fill="FFFFFF"/>
        </w:rPr>
      </w:pPr>
      <w:r>
        <w:rPr>
          <w:rFonts w:hint="eastAsia" w:asciiTheme="minorEastAsia" w:hAnsiTheme="minorEastAsia" w:eastAsiaTheme="minorEastAsia" w:cstheme="minorEastAsia"/>
          <w:b/>
          <w:color w:val="000000"/>
          <w:sz w:val="24"/>
          <w:szCs w:val="24"/>
        </w:rPr>
        <w:t xml:space="preserve">第八条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shd w:val="clear" w:color="auto" w:fill="FFFFFF"/>
        </w:rPr>
        <w:t>信用评价应设立信用评价工作组，负责工程造价咨询企业信用信息的采集、核查、评分、公示、发布、评价资料的管理等相关工作。</w:t>
      </w:r>
    </w:p>
    <w:p>
      <w:pPr>
        <w:pStyle w:val="2"/>
        <w:keepNext w:val="0"/>
        <w:keepLines w:val="0"/>
        <w:pageBreakBefore w:val="0"/>
        <w:widowControl/>
        <w:kinsoku/>
        <w:wordWrap/>
        <w:overflowPunct/>
        <w:topLinePunct w:val="0"/>
        <w:autoSpaceDE/>
        <w:autoSpaceDN/>
        <w:bidi w:val="0"/>
        <w:adjustRightInd/>
        <w:snapToGrid/>
        <w:spacing w:before="100" w:beforeAutospacing="1" w:after="100" w:afterAutospacing="1" w:line="360" w:lineRule="auto"/>
        <w:ind w:left="0" w:right="0"/>
        <w:jc w:val="center"/>
        <w:textAlignment w:val="auto"/>
        <w:outlineLvl w:val="1"/>
        <w:rPr>
          <w:rFonts w:hint="eastAsia" w:asciiTheme="minorEastAsia" w:hAnsiTheme="minorEastAsia" w:eastAsiaTheme="minorEastAsia" w:cstheme="minorEastAsia"/>
          <w:b/>
          <w:bCs/>
          <w:color w:val="000000"/>
          <w:kern w:val="0"/>
          <w:sz w:val="24"/>
          <w:szCs w:val="24"/>
          <w:lang w:val="en-US" w:bidi="ar-SA"/>
        </w:rPr>
      </w:pPr>
      <w:r>
        <w:rPr>
          <w:rFonts w:hint="eastAsia" w:asciiTheme="minorEastAsia" w:hAnsiTheme="minorEastAsia" w:eastAsiaTheme="minorEastAsia" w:cstheme="minorEastAsia"/>
          <w:b/>
          <w:bCs/>
          <w:color w:val="000000"/>
          <w:kern w:val="0"/>
          <w:sz w:val="24"/>
          <w:szCs w:val="24"/>
          <w:lang w:val="en-US" w:bidi="ar-SA"/>
        </w:rPr>
        <w:t>第三章  信用评价的依据和原则</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第九条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信用评价工作的依据：</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（一）国家有关法律、法规、规章等；</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（二）行业规范性文件、规定及标准等；</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（三）政府有关部门和工程造价行业管理机构及行业协会的表彰、奖励、专项检查、核查、抽查结果等；</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 xml:space="preserve">（四）已生效的判决书或仲裁裁决书； </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（五）已生效的行政或司法机关的处罚决定书；</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（六）工程造价咨询统计报表制度；</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（七）各级工程造价咨询监管系统中的有关信息；</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（八）企业在住建部及各省、自治区、直辖市及地市主管部门和中价协各工作委员会系统中上报的相关数据；</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（九）企业在各级政府机关或部门的信用档案信息；</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（十）企业从业人员在各级政府机关或部门的信用档案信息；</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（十一）其它相关信用信息等。</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第十条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信用评价工作遵循以下原则：</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 xml:space="preserve">（一）独立、客观、公正、科学； </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（二）政府引导、行业自律、社会监督；</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（三）社会需求和行业发展导向相结合；</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（四）充分利用信息化手段，减轻企业负担；</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（五）能力与信用相结合；</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（六）企业自愿。</w:t>
      </w:r>
    </w:p>
    <w:p>
      <w:pPr>
        <w:pStyle w:val="2"/>
        <w:keepNext w:val="0"/>
        <w:keepLines w:val="0"/>
        <w:pageBreakBefore w:val="0"/>
        <w:widowControl/>
        <w:kinsoku/>
        <w:wordWrap/>
        <w:overflowPunct/>
        <w:topLinePunct w:val="0"/>
        <w:autoSpaceDE/>
        <w:autoSpaceDN/>
        <w:bidi w:val="0"/>
        <w:adjustRightInd/>
        <w:snapToGrid/>
        <w:spacing w:before="100" w:beforeAutospacing="1" w:after="100" w:afterAutospacing="1" w:line="360" w:lineRule="auto"/>
        <w:ind w:left="0" w:right="0"/>
        <w:jc w:val="center"/>
        <w:textAlignment w:val="auto"/>
        <w:outlineLvl w:val="1"/>
        <w:rPr>
          <w:rFonts w:hint="eastAsia" w:asciiTheme="minorEastAsia" w:hAnsiTheme="minorEastAsia" w:eastAsiaTheme="minorEastAsia" w:cstheme="minorEastAsia"/>
          <w:b/>
          <w:bCs/>
          <w:color w:val="000000"/>
          <w:kern w:val="0"/>
          <w:sz w:val="24"/>
          <w:szCs w:val="24"/>
          <w:lang w:val="en-US" w:bidi="ar-SA"/>
        </w:rPr>
      </w:pPr>
      <w:r>
        <w:rPr>
          <w:rFonts w:hint="eastAsia" w:asciiTheme="minorEastAsia" w:hAnsiTheme="minorEastAsia" w:eastAsiaTheme="minorEastAsia" w:cstheme="minorEastAsia"/>
          <w:b/>
          <w:bCs/>
          <w:color w:val="000000"/>
          <w:kern w:val="0"/>
          <w:sz w:val="24"/>
          <w:szCs w:val="24"/>
          <w:lang w:val="en-US" w:bidi="ar-SA"/>
        </w:rPr>
        <w:t>第四章  信用评价标准</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第十一条</w:t>
      </w:r>
      <w:r>
        <w:rPr>
          <w:rFonts w:hint="eastAsia" w:asciiTheme="minorEastAsia" w:hAnsiTheme="minorEastAsia" w:eastAsiaTheme="minorEastAsia" w:cstheme="minorEastAsia"/>
          <w:color w:val="000000"/>
          <w:sz w:val="24"/>
          <w:szCs w:val="24"/>
        </w:rPr>
        <w:t xml:space="preserve"> </w:t>
      </w:r>
      <w:r>
        <w:rPr>
          <w:rFonts w:hint="eastAsia" w:asciiTheme="minorEastAsia" w:hAnsiTheme="minorEastAsia" w:eastAsiaTheme="minorEastAsia" w:cstheme="minorEastAsia"/>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信用评价采用百分制对评价内容进行评分，评价内容分为基本情况及经营管理得分、良好行为加分和不良行为扣分等。其中：良好行为加分</w:t>
      </w:r>
      <w:r>
        <w:rPr>
          <w:rFonts w:hint="eastAsia" w:asciiTheme="minorEastAsia" w:hAnsiTheme="minorEastAsia" w:eastAsiaTheme="minorEastAsia" w:cstheme="minorEastAsia"/>
          <w:sz w:val="24"/>
          <w:szCs w:val="24"/>
        </w:rPr>
        <w:t>限额10分</w:t>
      </w:r>
      <w:r>
        <w:rPr>
          <w:rFonts w:hint="eastAsia" w:asciiTheme="minorEastAsia" w:hAnsiTheme="minorEastAsia" w:eastAsiaTheme="minorEastAsia" w:cstheme="minorEastAsia"/>
          <w:color w:val="000000"/>
          <w:sz w:val="24"/>
          <w:szCs w:val="24"/>
        </w:rPr>
        <w:t>，不良行为扣分不限额。</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本办法所称良好行为，是指工程造价咨询企业在工程造价从业活动中遵守有关工程建设的法律、法规、规章、规范、标准及相关文件的规定，行为规范，诚信经营，自觉维护市场秩序，积极履行社会责任，受到各级人民政府、工程建设行政主管部门等相关政府部门、造价行业管理机构及造价行业协会等的表彰、奖励和表扬等的行为。</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本办法所称不良行为，是指工程造价咨询企业在工程造价从业活动中违反有关工程建设的法律、法规、规章、规范、标准、执业行为规范及相关文件的规定，受到司法判决或受到各级人民政府、工程建设行政主管部门等相关政府部门、造价行业管理机构等的行政处罚、通报批评、责令整改、约谈等，或受到投诉举报被查实等的行为，或违反行业自律规定受到行业协会惩戒或通报的行为。</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color w:val="000000"/>
          <w:sz w:val="24"/>
          <w:szCs w:val="24"/>
        </w:rPr>
        <w:t xml:space="preserve">第十二条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基本情况及经营管理得分评价项满足或超过要求的，评价时按项计分，每项得分不超过该项得分满分；基本情况及经营管理得分评价项不满足要求或违反相关规定的，评价时按项扣</w:t>
      </w:r>
      <w:r>
        <w:rPr>
          <w:rFonts w:hint="eastAsia" w:asciiTheme="minorEastAsia" w:hAnsiTheme="minorEastAsia" w:eastAsiaTheme="minorEastAsia" w:cstheme="minorEastAsia"/>
          <w:sz w:val="24"/>
          <w:szCs w:val="24"/>
        </w:rPr>
        <w:t>分，每一评价项的扣分不超过本项扣分限额；良好行为加分和不良行为扣分分别按附件3和附件4的加分和扣分标准评价。</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良好行为和不良行为的有效期一般规定为三年。各省级评价机构也可结合具体情况确定良好行为和不良行为有效期，但不良行为有效期不应低于其相关处罚期限。</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第十三条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工程造价咨询企业信用等级分为AAA、AA、A、B、C三等五级。</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AAA表示信用很好，综合能力很强， AA表示信用很好，综合能力强，A表示信用好，综合能力较强、B表示信用一般， C表示信用较差。</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第十四条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信用评价实行评分制，评价结果采用按分值区间确定的原则，信用等级实行动态评价、动态管理。</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第十五条 </w:t>
      </w:r>
      <w:r>
        <w:rPr>
          <w:rFonts w:hint="eastAsia" w:asciiTheme="minorEastAsia" w:hAnsiTheme="minorEastAsia" w:eastAsiaTheme="minorEastAsia" w:cstheme="minorEastAsia"/>
          <w:color w:val="000000"/>
          <w:sz w:val="24"/>
          <w:szCs w:val="24"/>
        </w:rPr>
        <w:t>信用等级根据信用评价标准得分结果确定，信用等级与信用评价得分对应关系如下：</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p>
    <w:tbl>
      <w:tblPr>
        <w:tblStyle w:val="6"/>
        <w:tblW w:w="779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4"/>
        <w:gridCol w:w="2268"/>
        <w:gridCol w:w="2597"/>
        <w:gridCol w:w="17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34"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序号</w:t>
            </w:r>
          </w:p>
        </w:tc>
        <w:tc>
          <w:tcPr>
            <w:tcW w:w="2268"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信用等级</w:t>
            </w:r>
          </w:p>
        </w:tc>
        <w:tc>
          <w:tcPr>
            <w:tcW w:w="2597"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评价得分</w:t>
            </w:r>
          </w:p>
        </w:tc>
        <w:tc>
          <w:tcPr>
            <w:tcW w:w="1797"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34"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w:t>
            </w:r>
          </w:p>
        </w:tc>
        <w:tc>
          <w:tcPr>
            <w:tcW w:w="2268"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AAA</w:t>
            </w:r>
          </w:p>
        </w:tc>
        <w:tc>
          <w:tcPr>
            <w:tcW w:w="2597"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r>
              <w:rPr>
                <w:rFonts w:hint="default" w:ascii="Arial" w:hAnsi="Arial" w:cs="Arial" w:eastAsiaTheme="minorEastAsia"/>
                <w:color w:val="000000"/>
                <w:sz w:val="24"/>
                <w:szCs w:val="24"/>
              </w:rPr>
              <w:t>≥</w:t>
            </w:r>
            <w:r>
              <w:rPr>
                <w:rFonts w:hint="eastAsia" w:asciiTheme="minorEastAsia" w:hAnsiTheme="minorEastAsia" w:eastAsiaTheme="minorEastAsia" w:cstheme="minorEastAsia"/>
                <w:sz w:val="24"/>
                <w:szCs w:val="24"/>
              </w:rPr>
              <w:t>80</w:t>
            </w:r>
          </w:p>
        </w:tc>
        <w:tc>
          <w:tcPr>
            <w:tcW w:w="1797"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34"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w:t>
            </w:r>
          </w:p>
        </w:tc>
        <w:tc>
          <w:tcPr>
            <w:tcW w:w="2268"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AA</w:t>
            </w:r>
          </w:p>
        </w:tc>
        <w:tc>
          <w:tcPr>
            <w:tcW w:w="2597"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70</w:t>
            </w:r>
            <w:r>
              <w:rPr>
                <w:rFonts w:hint="eastAsia" w:ascii="宋体" w:hAnsi="宋体" w:eastAsia="宋体" w:cs="宋体"/>
                <w:color w:val="000000"/>
                <w:sz w:val="24"/>
                <w:szCs w:val="24"/>
              </w:rPr>
              <w:t>—</w:t>
            </w:r>
            <w:r>
              <w:rPr>
                <w:rFonts w:hint="eastAsia" w:asciiTheme="minorEastAsia" w:hAnsiTheme="minorEastAsia" w:eastAsiaTheme="minorEastAsia" w:cstheme="minorEastAsia"/>
                <w:color w:val="000000"/>
                <w:sz w:val="24"/>
                <w:szCs w:val="24"/>
              </w:rPr>
              <w:t>80（不含）</w:t>
            </w:r>
          </w:p>
        </w:tc>
        <w:tc>
          <w:tcPr>
            <w:tcW w:w="1797"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34"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w:t>
            </w:r>
          </w:p>
        </w:tc>
        <w:tc>
          <w:tcPr>
            <w:tcW w:w="2268"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A</w:t>
            </w:r>
          </w:p>
        </w:tc>
        <w:tc>
          <w:tcPr>
            <w:tcW w:w="2597"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60</w:t>
            </w:r>
            <w:r>
              <w:rPr>
                <w:rFonts w:hint="eastAsia" w:ascii="宋体" w:hAnsi="宋体" w:eastAsia="宋体" w:cs="宋体"/>
                <w:color w:val="000000"/>
                <w:sz w:val="24"/>
                <w:szCs w:val="24"/>
              </w:rPr>
              <w:t>—</w:t>
            </w:r>
            <w:r>
              <w:rPr>
                <w:rFonts w:hint="eastAsia" w:asciiTheme="minorEastAsia" w:hAnsiTheme="minorEastAsia" w:eastAsiaTheme="minorEastAsia" w:cstheme="minorEastAsia"/>
                <w:color w:val="000000"/>
                <w:sz w:val="24"/>
                <w:szCs w:val="24"/>
              </w:rPr>
              <w:t>70（不含）</w:t>
            </w:r>
          </w:p>
        </w:tc>
        <w:tc>
          <w:tcPr>
            <w:tcW w:w="1797"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34"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w:t>
            </w:r>
          </w:p>
        </w:tc>
        <w:tc>
          <w:tcPr>
            <w:tcW w:w="2268"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B</w:t>
            </w:r>
          </w:p>
        </w:tc>
        <w:tc>
          <w:tcPr>
            <w:tcW w:w="2597"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50</w:t>
            </w:r>
            <w:r>
              <w:rPr>
                <w:rFonts w:hint="eastAsia" w:ascii="宋体" w:hAnsi="宋体" w:eastAsia="宋体" w:cs="宋体"/>
                <w:color w:val="000000"/>
                <w:sz w:val="24"/>
                <w:szCs w:val="24"/>
              </w:rPr>
              <w:t>—</w:t>
            </w:r>
            <w:r>
              <w:rPr>
                <w:rFonts w:hint="eastAsia" w:asciiTheme="minorEastAsia" w:hAnsiTheme="minorEastAsia" w:eastAsiaTheme="minorEastAsia" w:cstheme="minorEastAsia"/>
                <w:color w:val="000000"/>
                <w:sz w:val="24"/>
                <w:szCs w:val="24"/>
              </w:rPr>
              <w:t>60（不含）</w:t>
            </w:r>
          </w:p>
        </w:tc>
        <w:tc>
          <w:tcPr>
            <w:tcW w:w="1797"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34"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w:t>
            </w:r>
          </w:p>
        </w:tc>
        <w:tc>
          <w:tcPr>
            <w:tcW w:w="2268"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C</w:t>
            </w:r>
          </w:p>
        </w:tc>
        <w:tc>
          <w:tcPr>
            <w:tcW w:w="2597"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r>
              <w:rPr>
                <w:rFonts w:hint="eastAsia" w:ascii="宋体" w:hAnsi="宋体" w:eastAsia="宋体" w:cs="宋体"/>
                <w:color w:val="000000"/>
                <w:sz w:val="24"/>
                <w:szCs w:val="24"/>
              </w:rPr>
              <w:t>&lt;</w:t>
            </w:r>
            <w:r>
              <w:rPr>
                <w:rFonts w:hint="eastAsia" w:asciiTheme="minorEastAsia" w:hAnsiTheme="minorEastAsia" w:eastAsiaTheme="minorEastAsia" w:cstheme="minorEastAsia"/>
                <w:color w:val="000000"/>
                <w:sz w:val="24"/>
                <w:szCs w:val="24"/>
              </w:rPr>
              <w:t xml:space="preserve">50 </w:t>
            </w:r>
          </w:p>
        </w:tc>
        <w:tc>
          <w:tcPr>
            <w:tcW w:w="1797" w:type="dxa"/>
            <w:noWrap w:val="0"/>
            <w:vAlign w:val="center"/>
          </w:tcPr>
          <w:p>
            <w:pPr>
              <w:keepNext w:val="0"/>
              <w:keepLines w:val="0"/>
              <w:pageBreakBefore w:val="0"/>
              <w:kinsoku/>
              <w:wordWrap/>
              <w:overflowPunct/>
              <w:topLinePunct w:val="0"/>
              <w:bidi w:val="0"/>
              <w:adjustRightInd/>
              <w:snapToGrid/>
              <w:spacing w:line="360" w:lineRule="auto"/>
              <w:jc w:val="center"/>
              <w:textAlignment w:val="auto"/>
              <w:rPr>
                <w:rFonts w:hint="eastAsia" w:asciiTheme="minorEastAsia" w:hAnsiTheme="minorEastAsia" w:eastAsiaTheme="minorEastAsia" w:cstheme="minorEastAsia"/>
                <w:color w:val="000000"/>
                <w:sz w:val="24"/>
                <w:szCs w:val="24"/>
              </w:rPr>
            </w:pPr>
          </w:p>
        </w:tc>
      </w:tr>
    </w:tbl>
    <w:p>
      <w:pPr>
        <w:pStyle w:val="2"/>
        <w:keepNext w:val="0"/>
        <w:keepLines w:val="0"/>
        <w:pageBreakBefore w:val="0"/>
        <w:widowControl/>
        <w:kinsoku/>
        <w:wordWrap/>
        <w:overflowPunct/>
        <w:topLinePunct w:val="0"/>
        <w:autoSpaceDE/>
        <w:autoSpaceDN/>
        <w:bidi w:val="0"/>
        <w:adjustRightInd/>
        <w:snapToGrid/>
        <w:spacing w:before="313" w:beforeLines="100" w:beforeAutospacing="0" w:after="0" w:afterAutospacing="0" w:line="360" w:lineRule="auto"/>
        <w:ind w:left="0" w:right="0"/>
        <w:jc w:val="center"/>
        <w:textAlignment w:val="auto"/>
        <w:outlineLvl w:val="1"/>
        <w:rPr>
          <w:rFonts w:hint="eastAsia" w:asciiTheme="minorEastAsia" w:hAnsiTheme="minorEastAsia" w:eastAsiaTheme="minorEastAsia" w:cstheme="minorEastAsia"/>
          <w:b/>
          <w:bCs/>
          <w:color w:val="000000"/>
          <w:kern w:val="0"/>
          <w:sz w:val="24"/>
          <w:szCs w:val="24"/>
          <w:lang w:val="en-US" w:bidi="ar-SA"/>
        </w:rPr>
      </w:pPr>
      <w:r>
        <w:rPr>
          <w:rFonts w:hint="eastAsia" w:asciiTheme="minorEastAsia" w:hAnsiTheme="minorEastAsia" w:eastAsiaTheme="minorEastAsia" w:cstheme="minorEastAsia"/>
          <w:b/>
          <w:bCs/>
          <w:color w:val="000000"/>
          <w:kern w:val="0"/>
          <w:sz w:val="24"/>
          <w:szCs w:val="24"/>
          <w:lang w:val="en-US" w:bidi="ar-SA"/>
        </w:rPr>
        <w:t>第五章  信用评价要求</w:t>
      </w:r>
    </w:p>
    <w:p>
      <w:pPr>
        <w:keepNext w:val="0"/>
        <w:keepLines w:val="0"/>
        <w:pageBreakBefore w:val="0"/>
        <w:widowControl w:val="0"/>
        <w:kinsoku/>
        <w:wordWrap/>
        <w:overflowPunct/>
        <w:topLinePunct w:val="0"/>
        <w:autoSpaceDE w:val="0"/>
        <w:autoSpaceDN w:val="0"/>
        <w:bidi w:val="0"/>
        <w:adjustRightInd/>
        <w:snapToGrid/>
        <w:spacing w:before="157" w:beforeLines="50" w:beforeAutospacing="0" w:after="0" w:afterAutospacing="0"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第十六条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参评企业应为中价协单位会员，且取得营业执照1年（含）以上。</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第十七条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参评企业应在中价协统一的工程造价咨询企业信用评价系统上提出申请并建立档案。</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第十八条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信用评价工作实行动态评价，新申请评价的工程造价咨询企业应根据中价协相关工作通知要求的时间上报申请，已取得信用等级的工程造价咨询企业可随时更新相关信息。</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第十九条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工程造价咨询企业申请信用评价，必须包含其所有的分支机构，分支机构的良好行为和不良行为纳入其所属法人企业评价。</w:t>
      </w:r>
    </w:p>
    <w:p>
      <w:pPr>
        <w:keepNext w:val="0"/>
        <w:keepLines w:val="0"/>
        <w:pageBreakBefore w:val="0"/>
        <w:kinsoku/>
        <w:wordWrap/>
        <w:overflowPunct/>
        <w:topLinePunct w:val="0"/>
        <w:bidi w:val="0"/>
        <w:adjustRightInd/>
        <w:snapToGrid/>
        <w:spacing w:before="0" w:beforeAutospacing="0" w:after="0" w:afterAutospacing="0"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第二十条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省、市信用评价机构如派员到参评企业现场核实，应成立工作小组。</w:t>
      </w:r>
    </w:p>
    <w:p>
      <w:pPr>
        <w:pStyle w:val="2"/>
        <w:keepNext w:val="0"/>
        <w:keepLines w:val="0"/>
        <w:pageBreakBefore w:val="0"/>
        <w:widowControl/>
        <w:kinsoku/>
        <w:wordWrap/>
        <w:overflowPunct/>
        <w:topLinePunct w:val="0"/>
        <w:autoSpaceDE/>
        <w:autoSpaceDN/>
        <w:bidi w:val="0"/>
        <w:adjustRightInd/>
        <w:snapToGrid/>
        <w:spacing w:before="157" w:beforeLines="50" w:beforeAutospacing="0" w:after="0" w:afterAutospacing="0" w:line="360" w:lineRule="auto"/>
        <w:ind w:left="0" w:right="0"/>
        <w:jc w:val="center"/>
        <w:textAlignment w:val="auto"/>
        <w:outlineLvl w:val="1"/>
        <w:rPr>
          <w:rFonts w:hint="eastAsia" w:asciiTheme="minorEastAsia" w:hAnsiTheme="minorEastAsia" w:eastAsiaTheme="minorEastAsia" w:cstheme="minorEastAsia"/>
          <w:b/>
          <w:bCs/>
          <w:color w:val="000000"/>
          <w:kern w:val="0"/>
          <w:sz w:val="24"/>
          <w:szCs w:val="24"/>
          <w:lang w:val="en-US" w:bidi="ar-SA"/>
        </w:rPr>
      </w:pPr>
      <w:r>
        <w:rPr>
          <w:rFonts w:hint="eastAsia" w:asciiTheme="minorEastAsia" w:hAnsiTheme="minorEastAsia" w:eastAsiaTheme="minorEastAsia" w:cstheme="minorEastAsia"/>
          <w:b/>
          <w:bCs/>
          <w:color w:val="000000"/>
          <w:kern w:val="0"/>
          <w:sz w:val="24"/>
          <w:szCs w:val="24"/>
          <w:lang w:val="en-US" w:bidi="ar-SA"/>
        </w:rPr>
        <w:t>第六章  信用评价内容</w:t>
      </w:r>
    </w:p>
    <w:p>
      <w:pPr>
        <w:pStyle w:val="3"/>
        <w:keepNext w:val="0"/>
        <w:keepLines w:val="0"/>
        <w:pageBreakBefore w:val="0"/>
        <w:widowControl w:val="0"/>
        <w:kinsoku/>
        <w:wordWrap/>
        <w:overflowPunct/>
        <w:topLinePunct w:val="0"/>
        <w:autoSpaceDE w:val="0"/>
        <w:autoSpaceDN w:val="0"/>
        <w:bidi w:val="0"/>
        <w:adjustRightInd/>
        <w:snapToGrid/>
        <w:spacing w:before="157" w:beforeLines="50" w:line="360" w:lineRule="auto"/>
        <w:ind w:firstLine="634"/>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第二十一条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信用评价的内容主要包括：</w:t>
      </w:r>
    </w:p>
    <w:p>
      <w:pPr>
        <w:pStyle w:val="3"/>
        <w:keepNext w:val="0"/>
        <w:keepLines w:val="0"/>
        <w:pageBreakBefore w:val="0"/>
        <w:kinsoku/>
        <w:wordWrap/>
        <w:overflowPunct/>
        <w:topLinePunct w:val="0"/>
        <w:bidi w:val="0"/>
        <w:adjustRightInd/>
        <w:snapToGrid/>
        <w:spacing w:line="360" w:lineRule="auto"/>
        <w:ind w:firstLine="632"/>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（一）基本情况：人员结构、各类组织等；</w:t>
      </w:r>
    </w:p>
    <w:p>
      <w:pPr>
        <w:pStyle w:val="3"/>
        <w:keepNext w:val="0"/>
        <w:keepLines w:val="0"/>
        <w:pageBreakBefore w:val="0"/>
        <w:kinsoku/>
        <w:wordWrap/>
        <w:overflowPunct/>
        <w:topLinePunct w:val="0"/>
        <w:bidi w:val="0"/>
        <w:adjustRightInd/>
        <w:snapToGrid/>
        <w:spacing w:line="360" w:lineRule="auto"/>
        <w:ind w:firstLine="632"/>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（二）经营管理：经营能力、管理能力、教育培训、信息化、文化建设与社会责任等；</w:t>
      </w:r>
    </w:p>
    <w:p>
      <w:pPr>
        <w:pStyle w:val="3"/>
        <w:keepNext w:val="0"/>
        <w:keepLines w:val="0"/>
        <w:pageBreakBefore w:val="0"/>
        <w:kinsoku/>
        <w:wordWrap/>
        <w:overflowPunct/>
        <w:topLinePunct w:val="0"/>
        <w:bidi w:val="0"/>
        <w:adjustRightInd/>
        <w:snapToGrid/>
        <w:spacing w:line="360" w:lineRule="auto"/>
        <w:ind w:firstLine="632"/>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（三）各地自主评分或自定义评价项：社会评价、成果质量等；</w:t>
      </w:r>
    </w:p>
    <w:p>
      <w:pPr>
        <w:pStyle w:val="3"/>
        <w:keepNext w:val="0"/>
        <w:keepLines w:val="0"/>
        <w:pageBreakBefore w:val="0"/>
        <w:kinsoku/>
        <w:wordWrap/>
        <w:overflowPunct/>
        <w:topLinePunct w:val="0"/>
        <w:bidi w:val="0"/>
        <w:adjustRightInd/>
        <w:snapToGrid/>
        <w:spacing w:line="360" w:lineRule="auto"/>
        <w:ind w:firstLine="632"/>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（四）良好行为和不良行为：良好行为加分、不良行为扣分。</w:t>
      </w:r>
    </w:p>
    <w:p>
      <w:pPr>
        <w:pStyle w:val="2"/>
        <w:keepNext w:val="0"/>
        <w:keepLines w:val="0"/>
        <w:pageBreakBefore w:val="0"/>
        <w:widowControl/>
        <w:kinsoku/>
        <w:wordWrap/>
        <w:overflowPunct/>
        <w:topLinePunct w:val="0"/>
        <w:autoSpaceDE/>
        <w:autoSpaceDN/>
        <w:bidi w:val="0"/>
        <w:adjustRightInd/>
        <w:snapToGrid/>
        <w:spacing w:before="157" w:beforeLines="50" w:beforeAutospacing="0" w:after="0" w:afterAutospacing="0" w:line="360" w:lineRule="auto"/>
        <w:ind w:left="0" w:right="0"/>
        <w:jc w:val="center"/>
        <w:textAlignment w:val="auto"/>
        <w:outlineLvl w:val="1"/>
        <w:rPr>
          <w:rFonts w:hint="eastAsia" w:asciiTheme="minorEastAsia" w:hAnsiTheme="minorEastAsia" w:eastAsiaTheme="minorEastAsia" w:cstheme="minorEastAsia"/>
          <w:b/>
          <w:bCs/>
          <w:color w:val="000000"/>
          <w:kern w:val="0"/>
          <w:sz w:val="24"/>
          <w:szCs w:val="24"/>
          <w:lang w:val="en-US" w:bidi="ar-SA"/>
        </w:rPr>
      </w:pPr>
      <w:r>
        <w:rPr>
          <w:rFonts w:hint="eastAsia" w:asciiTheme="minorEastAsia" w:hAnsiTheme="minorEastAsia" w:eastAsiaTheme="minorEastAsia" w:cstheme="minorEastAsia"/>
          <w:b/>
          <w:bCs/>
          <w:color w:val="000000"/>
          <w:kern w:val="0"/>
          <w:sz w:val="24"/>
          <w:szCs w:val="24"/>
          <w:lang w:val="en-US" w:bidi="ar-SA"/>
        </w:rPr>
        <w:t>第七章  信用评价程序</w:t>
      </w:r>
    </w:p>
    <w:p>
      <w:pPr>
        <w:keepNext w:val="0"/>
        <w:keepLines w:val="0"/>
        <w:pageBreakBefore w:val="0"/>
        <w:widowControl w:val="0"/>
        <w:kinsoku/>
        <w:wordWrap/>
        <w:overflowPunct/>
        <w:topLinePunct w:val="0"/>
        <w:autoSpaceDE w:val="0"/>
        <w:autoSpaceDN w:val="0"/>
        <w:bidi w:val="0"/>
        <w:adjustRightInd/>
        <w:snapToGrid/>
        <w:spacing w:before="157" w:beforeLines="50" w:line="360" w:lineRule="auto"/>
        <w:ind w:firstLine="482" w:firstLineChars="200"/>
        <w:textAlignment w:val="auto"/>
        <w:rPr>
          <w:rFonts w:hint="eastAsia" w:asciiTheme="minorEastAsia" w:hAnsiTheme="minorEastAsia" w:eastAsiaTheme="minorEastAsia" w:cstheme="minorEastAsia"/>
          <w:color w:val="000000"/>
          <w:sz w:val="24"/>
          <w:szCs w:val="24"/>
          <w:shd w:val="clear" w:color="auto" w:fill="FFFFFF"/>
        </w:rPr>
      </w:pPr>
      <w:r>
        <w:rPr>
          <w:rFonts w:hint="eastAsia" w:asciiTheme="minorEastAsia" w:hAnsiTheme="minorEastAsia" w:eastAsiaTheme="minorEastAsia" w:cstheme="minorEastAsia"/>
          <w:b/>
          <w:color w:val="000000"/>
          <w:sz w:val="24"/>
          <w:szCs w:val="24"/>
        </w:rPr>
        <w:t xml:space="preserve">第二十二条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shd w:val="clear" w:color="auto" w:fill="FFFFFF"/>
        </w:rPr>
        <w:t>中价协负责信用评价系统的开发、运行和维护，确保信用评价系统运行可靠、信息共享、数据安全。</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第二十三条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中价协根据信用评价工作的布置和要求，将其信用评价系统对各省级评价机构及中价协各工作委员会和地市级评价机构开放相应的初评和评审权限。</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第二十四条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参评企业自愿申请信用评价。首次申请信用评价的企业应在中价协信用评价系统上注册，并在线填报有关信用评价的相关信息。</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color w:val="000000"/>
          <w:sz w:val="24"/>
          <w:szCs w:val="24"/>
        </w:rPr>
        <w:t xml:space="preserve">第二十五条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信用评价工作开始后，评价系统自动从</w:t>
      </w:r>
      <w:r>
        <w:rPr>
          <w:rFonts w:hint="eastAsia" w:asciiTheme="minorEastAsia" w:hAnsiTheme="minorEastAsia" w:eastAsiaTheme="minorEastAsia" w:cstheme="minorEastAsia"/>
          <w:sz w:val="24"/>
          <w:szCs w:val="24"/>
        </w:rPr>
        <w:t>工程造价咨询统计报表系统、造价咨询企业和造价工程师管理系统、会员服务系统等获取相关数据并自动对相应评价指标赋分。</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sz w:val="24"/>
          <w:szCs w:val="24"/>
        </w:rPr>
        <w:t>不能从以上系统中获取的指标或从以上系统中获取的指标不完整、不准确的，由</w:t>
      </w:r>
      <w:r>
        <w:rPr>
          <w:rFonts w:hint="eastAsia" w:asciiTheme="minorEastAsia" w:hAnsiTheme="minorEastAsia" w:eastAsiaTheme="minorEastAsia" w:cstheme="minorEastAsia"/>
          <w:color w:val="000000"/>
          <w:sz w:val="24"/>
          <w:szCs w:val="24"/>
        </w:rPr>
        <w:t>参评企业根据实际情况在系统中自行填报，并准备相应的基础资料备查。</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b/>
          <w:color w:val="000000"/>
          <w:sz w:val="24"/>
          <w:szCs w:val="24"/>
        </w:rPr>
      </w:pPr>
      <w:r>
        <w:rPr>
          <w:rFonts w:hint="eastAsia" w:asciiTheme="minorEastAsia" w:hAnsiTheme="minorEastAsia" w:eastAsiaTheme="minorEastAsia" w:cstheme="minorEastAsia"/>
          <w:b/>
          <w:color w:val="000000"/>
          <w:sz w:val="24"/>
          <w:szCs w:val="24"/>
        </w:rPr>
        <w:t xml:space="preserve">第二十六条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信用评价工作组对其认为需要到参评企业现场核实的评价内容，可派遣信用评价工作小组到现场进行核实，根据实际核实情况进行评分，企业应予配合。</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第二十七条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良好行为和不良行为。良好行为和不良行为可由各参评企业、各级信用评价机构录入，并在信用评价系统上及时更新。各级信用评价机构按信用评价标准的规定，对工程造价咨询企业信用评价得分进行加分和扣分。</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良好行为和不良行为具体内容详见本办法附件3和附件4。</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第二十八条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初评结束后，初评机构在系统中确认，系统自动将初评结果上传上级评价机构。</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第二十九条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省级信用评价机构对初评结果进行复核、评审，并将评审结果上传中价协。</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第三十条 </w:t>
      </w:r>
      <w:r>
        <w:rPr>
          <w:rFonts w:hint="eastAsia" w:asciiTheme="minorEastAsia" w:hAnsiTheme="minorEastAsia" w:eastAsiaTheme="minorEastAsia" w:cstheme="minorEastAsia"/>
          <w:color w:val="000000"/>
          <w:sz w:val="24"/>
          <w:szCs w:val="24"/>
        </w:rPr>
        <w:t>中价协收到省级信用评价机构的评价结果，经确认无误后形成最终评价结果。</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第三十一条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中价协公示评价结果。中价协将最终评价结果在中价协网站进行公示，公示期10个工作日。</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公示期内接受投诉、举报及异议申请，并按规定的流程进行处理。</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第三十二条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对评价结果有异议的企业可向评审机构申请复核，评审机构收到复核申请后组织复核，应将复核意见告知申请复核的企业并报中价协。</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第三十三条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中价协公布评价结果。中价协对经公示无异议的企业信用等级向社会发布。</w:t>
      </w:r>
    </w:p>
    <w:p>
      <w:pPr>
        <w:pStyle w:val="2"/>
        <w:keepNext w:val="0"/>
        <w:keepLines w:val="0"/>
        <w:pageBreakBefore w:val="0"/>
        <w:widowControl/>
        <w:kinsoku/>
        <w:wordWrap/>
        <w:overflowPunct/>
        <w:topLinePunct w:val="0"/>
        <w:autoSpaceDE/>
        <w:autoSpaceDN/>
        <w:bidi w:val="0"/>
        <w:adjustRightInd/>
        <w:snapToGrid/>
        <w:spacing w:before="157" w:beforeLines="50" w:beforeAutospacing="0" w:after="0" w:afterAutospacing="0" w:line="360" w:lineRule="auto"/>
        <w:ind w:left="0" w:right="0"/>
        <w:jc w:val="center"/>
        <w:textAlignment w:val="auto"/>
        <w:outlineLvl w:val="1"/>
        <w:rPr>
          <w:rFonts w:hint="eastAsia" w:asciiTheme="minorEastAsia" w:hAnsiTheme="minorEastAsia" w:eastAsiaTheme="minorEastAsia" w:cstheme="minorEastAsia"/>
          <w:b/>
          <w:bCs/>
          <w:color w:val="000000"/>
          <w:kern w:val="0"/>
          <w:sz w:val="24"/>
          <w:szCs w:val="24"/>
          <w:lang w:val="en-US" w:bidi="ar-SA"/>
        </w:rPr>
      </w:pPr>
      <w:r>
        <w:rPr>
          <w:rFonts w:hint="eastAsia" w:asciiTheme="minorEastAsia" w:hAnsiTheme="minorEastAsia" w:eastAsiaTheme="minorEastAsia" w:cstheme="minorEastAsia"/>
          <w:b/>
          <w:bCs/>
          <w:color w:val="000000"/>
          <w:kern w:val="0"/>
          <w:sz w:val="24"/>
          <w:szCs w:val="24"/>
          <w:lang w:val="en-US" w:bidi="ar-SA"/>
        </w:rPr>
        <w:t>第八章  信用等级管理</w:t>
      </w:r>
    </w:p>
    <w:p>
      <w:pPr>
        <w:keepNext w:val="0"/>
        <w:keepLines w:val="0"/>
        <w:pageBreakBefore w:val="0"/>
        <w:widowControl w:val="0"/>
        <w:kinsoku/>
        <w:wordWrap/>
        <w:overflowPunct/>
        <w:topLinePunct w:val="0"/>
        <w:autoSpaceDE w:val="0"/>
        <w:autoSpaceDN w:val="0"/>
        <w:bidi w:val="0"/>
        <w:adjustRightInd/>
        <w:snapToGrid/>
        <w:spacing w:before="157" w:beforeLines="50"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第三十四条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工程造价咨询企业信用等级实行动态评价，动态管理，每评定周期末中价协向社会发布的信用等级记入历史信用记录。</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第三十五条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中价协、省级地方协会和中价协各工作委员会应结合行业自律、质量检查等制度加强监督检查，强化对工程造价咨询企业的动态管理，及时查处不良行为，进行行业惩戒，并在中价协信用信息平台予以公布，信用评价机构根据各级信用平台公布的结果，定期调整信用评价分值及相应信用等级。</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第三十六条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已取得信用等级的工程造价咨询企业如发生名称变更、分立或合并等重大变更的，应及时更新信用评价系统内信息。</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第三十七条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取得信用等级的工程造价咨询企业，发生严重不良行为的，中价协应给予降低信用等级处分。本条所指严重不良行为包括：</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（一）企业法定代表人、技术负责人因本企业职务行为受到刑事处罚或严重的行政处罚；</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（二）企业或企业的法定代表人、技术负责人受到行业协会 公开谴责惩戒；</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（三）企业出借、借用资质等级证书进行投标或承接造价咨询业务；</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（四）企业提供虚假评价材料或拒绝接受造价行业管理机构监督检查，情节严重，经查属实；</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（五）有法律、法规、规章及行业规定的其他严重违法、违规行为。</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第三十八条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被降低信用等级的企业由中价协在信用评价系统中进行及时调整，各级造价行业协会在杂志（包括自办刊物）、报纸、网站等新闻媒介予以公布。</w:t>
      </w:r>
    </w:p>
    <w:p>
      <w:pPr>
        <w:pStyle w:val="2"/>
        <w:keepNext w:val="0"/>
        <w:keepLines w:val="0"/>
        <w:pageBreakBefore w:val="0"/>
        <w:widowControl/>
        <w:kinsoku/>
        <w:wordWrap/>
        <w:overflowPunct/>
        <w:topLinePunct w:val="0"/>
        <w:autoSpaceDE/>
        <w:autoSpaceDN/>
        <w:bidi w:val="0"/>
        <w:adjustRightInd/>
        <w:snapToGrid/>
        <w:spacing w:before="157" w:beforeLines="50" w:beforeAutospacing="0" w:after="0" w:afterAutospacing="0" w:line="360" w:lineRule="auto"/>
        <w:ind w:left="0" w:right="0"/>
        <w:jc w:val="center"/>
        <w:textAlignment w:val="auto"/>
        <w:outlineLvl w:val="1"/>
        <w:rPr>
          <w:rFonts w:hint="eastAsia" w:asciiTheme="minorEastAsia" w:hAnsiTheme="minorEastAsia" w:eastAsiaTheme="minorEastAsia" w:cstheme="minorEastAsia"/>
          <w:b/>
          <w:bCs/>
          <w:color w:val="000000"/>
          <w:kern w:val="0"/>
          <w:sz w:val="24"/>
          <w:szCs w:val="24"/>
          <w:lang w:val="en-US" w:bidi="ar-SA"/>
        </w:rPr>
      </w:pPr>
      <w:r>
        <w:rPr>
          <w:rFonts w:hint="eastAsia" w:asciiTheme="minorEastAsia" w:hAnsiTheme="minorEastAsia" w:eastAsiaTheme="minorEastAsia" w:cstheme="minorEastAsia"/>
          <w:b/>
          <w:bCs/>
          <w:color w:val="000000"/>
          <w:kern w:val="0"/>
          <w:sz w:val="24"/>
          <w:szCs w:val="24"/>
          <w:lang w:val="en-US" w:bidi="ar-SA"/>
        </w:rPr>
        <w:t>第九章  信用等级应用</w:t>
      </w:r>
    </w:p>
    <w:p>
      <w:pPr>
        <w:keepNext w:val="0"/>
        <w:keepLines w:val="0"/>
        <w:pageBreakBefore w:val="0"/>
        <w:widowControl w:val="0"/>
        <w:kinsoku/>
        <w:wordWrap/>
        <w:overflowPunct/>
        <w:topLinePunct w:val="0"/>
        <w:autoSpaceDE w:val="0"/>
        <w:autoSpaceDN w:val="0"/>
        <w:bidi w:val="0"/>
        <w:adjustRightInd/>
        <w:snapToGrid/>
        <w:spacing w:before="157" w:beforeLines="50" w:beforeAutospacing="0" w:after="0" w:afterAutospacing="0"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第三十九条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中价协信用评价系统向社会公开，提供实时查询，接受社会监督。</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第四十条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各级造价行业协会应通过杂志（包括自办刊物）、报纸、网站等新闻媒介将其评价的工程造价咨询企业的信用等级对社会宣传。</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第四十一条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被评价企业动态信用分值、信用等级及特色专业能力、各项信用记录可在信用评价系统实时查看，往期信用等级及能力也可在系统上公开查询。</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第四十二条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信用评价结果的运用：</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（一）根据需要上报政府信用管理相关部门；</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（二）与政府其它职能部门及银行、保险机构等共享；</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（三）企业对社会公众进行宣传；</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（四）鼓励社会主体在委托工程造价咨询业务时使用本评价结果作为重要评价指标之一；</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由于信用等级是动态的，社会主体在使用信用等级作为招标或直接选取造价咨询企业指标的，应明确信用等级的时点；</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（五）公布参评企业的造价咨询项目专业特色，供社会主体选择造价咨询中介机构时参考；</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（六）各级评价机构对其评价的信用等级高、能力范围广的企业，给予以下激励措施：</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1.在杂志（包括自办刊物）、报纸、网站等新闻媒介刊登宣传；</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2.给予更多机会参与造价行业管理机构或协会组织的调研、学术研究等活动；</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3.减少监督检查的频次；</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4.向需求单位推荐。</w:t>
      </w:r>
    </w:p>
    <w:p>
      <w:pPr>
        <w:pStyle w:val="2"/>
        <w:keepNext w:val="0"/>
        <w:keepLines w:val="0"/>
        <w:pageBreakBefore w:val="0"/>
        <w:widowControl/>
        <w:kinsoku/>
        <w:wordWrap/>
        <w:overflowPunct/>
        <w:topLinePunct w:val="0"/>
        <w:autoSpaceDE/>
        <w:autoSpaceDN/>
        <w:bidi w:val="0"/>
        <w:adjustRightInd/>
        <w:snapToGrid/>
        <w:spacing w:before="100" w:beforeAutospacing="1" w:after="100" w:afterAutospacing="1" w:line="360" w:lineRule="auto"/>
        <w:ind w:left="0" w:right="0"/>
        <w:jc w:val="center"/>
        <w:textAlignment w:val="auto"/>
        <w:outlineLvl w:val="1"/>
        <w:rPr>
          <w:rFonts w:hint="eastAsia" w:asciiTheme="minorEastAsia" w:hAnsiTheme="minorEastAsia" w:eastAsiaTheme="minorEastAsia" w:cstheme="minorEastAsia"/>
          <w:b/>
          <w:bCs/>
          <w:color w:val="000000"/>
          <w:kern w:val="0"/>
          <w:sz w:val="24"/>
          <w:szCs w:val="24"/>
          <w:lang w:val="en-US" w:bidi="ar-SA"/>
        </w:rPr>
      </w:pPr>
      <w:r>
        <w:rPr>
          <w:rFonts w:hint="eastAsia" w:asciiTheme="minorEastAsia" w:hAnsiTheme="minorEastAsia" w:eastAsiaTheme="minorEastAsia" w:cstheme="minorEastAsia"/>
          <w:b/>
          <w:bCs/>
          <w:color w:val="000000"/>
          <w:kern w:val="0"/>
          <w:sz w:val="24"/>
          <w:szCs w:val="24"/>
          <w:lang w:val="en-US" w:bidi="ar-SA"/>
        </w:rPr>
        <w:t>第十章  监督和管理</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第四十三条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申请信用评价的工程造价咨询企业，对申报内容的真实性、合法性、有效性负责，对因提供虚假材料引发的一切后果承担相应责任。</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shd w:val="pct10" w:color="auto" w:fill="FFFFFF"/>
        </w:rPr>
      </w:pPr>
      <w:r>
        <w:rPr>
          <w:rFonts w:hint="eastAsia" w:asciiTheme="minorEastAsia" w:hAnsiTheme="minorEastAsia" w:eastAsiaTheme="minorEastAsia" w:cstheme="minorEastAsia"/>
          <w:b/>
          <w:color w:val="000000"/>
          <w:sz w:val="24"/>
          <w:szCs w:val="24"/>
        </w:rPr>
        <w:t xml:space="preserve">第四十四条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参评企业在中价协信用信息平台已建立的信用档案内容与申报内容有差异的，以信息平台记录的信息内容作为评价依据。出现重大差异的，查实后进行修正，并对填报企业虚报、瞒报的不良行为进行处理。</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第四十五条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对信用评价结果有异议的企业，可向省级评价机构或中价协实名书面提出申诉，并提供书面证明材料。</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第四十六条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信用评价结果接受社会监督。</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第四十七条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各级评价机构对其信用评价工作的真实性和公正性承担责任，并接受上级部门和社会监督。</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第四十八条</w:t>
      </w:r>
      <w:r>
        <w:rPr>
          <w:rFonts w:hint="eastAsia" w:asciiTheme="minorEastAsia" w:hAnsiTheme="minorEastAsia" w:eastAsiaTheme="minorEastAsia" w:cstheme="minorEastAsia"/>
          <w:color w:val="000000"/>
          <w:sz w:val="24"/>
          <w:szCs w:val="24"/>
        </w:rPr>
        <w:t xml:space="preserve"> </w:t>
      </w:r>
      <w:r>
        <w:rPr>
          <w:rFonts w:hint="eastAsia" w:asciiTheme="minorEastAsia" w:hAnsiTheme="minorEastAsia" w:eastAsiaTheme="minorEastAsia" w:cstheme="minorEastAsia"/>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参加信用等级评价的工作人员应认真履行职责，不得徇私舞弊。</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b/>
          <w:bCs/>
          <w:color w:val="000000"/>
          <w:kern w:val="0"/>
          <w:sz w:val="24"/>
          <w:szCs w:val="24"/>
          <w:lang w:val="en-US" w:bidi="ar-SA"/>
        </w:rPr>
      </w:pPr>
      <w:r>
        <w:rPr>
          <w:rFonts w:hint="eastAsia" w:asciiTheme="minorEastAsia" w:hAnsiTheme="minorEastAsia" w:eastAsiaTheme="minorEastAsia" w:cstheme="minorEastAsia"/>
          <w:color w:val="000000"/>
          <w:sz w:val="24"/>
          <w:szCs w:val="24"/>
        </w:rPr>
        <w:t>参与评价工作的单位和个人违反本办法规定的，责令其改正；在工作中玩忽职守、弄虚作假、滥用职权、徇私舞弊的，提请相关单位进行处理；涉嫌犯罪的，提请司法机关依法追究其刑事责任。</w:t>
      </w:r>
    </w:p>
    <w:p>
      <w:pPr>
        <w:pStyle w:val="2"/>
        <w:keepNext w:val="0"/>
        <w:keepLines w:val="0"/>
        <w:pageBreakBefore w:val="0"/>
        <w:widowControl/>
        <w:kinsoku/>
        <w:wordWrap/>
        <w:overflowPunct/>
        <w:topLinePunct w:val="0"/>
        <w:autoSpaceDE/>
        <w:autoSpaceDN/>
        <w:bidi w:val="0"/>
        <w:adjustRightInd/>
        <w:snapToGrid/>
        <w:spacing w:before="100" w:beforeAutospacing="1" w:after="100" w:afterAutospacing="1" w:line="360" w:lineRule="auto"/>
        <w:ind w:left="0" w:right="0"/>
        <w:jc w:val="center"/>
        <w:textAlignment w:val="auto"/>
        <w:outlineLvl w:val="1"/>
        <w:rPr>
          <w:rFonts w:hint="eastAsia" w:asciiTheme="minorEastAsia" w:hAnsiTheme="minorEastAsia" w:eastAsiaTheme="minorEastAsia" w:cstheme="minorEastAsia"/>
          <w:b/>
          <w:bCs/>
          <w:color w:val="000000"/>
          <w:kern w:val="0"/>
          <w:sz w:val="24"/>
          <w:szCs w:val="24"/>
          <w:lang w:val="en-US" w:bidi="ar-SA"/>
        </w:rPr>
      </w:pPr>
      <w:r>
        <w:rPr>
          <w:rFonts w:hint="eastAsia" w:asciiTheme="minorEastAsia" w:hAnsiTheme="minorEastAsia" w:eastAsiaTheme="minorEastAsia" w:cstheme="minorEastAsia"/>
          <w:b/>
          <w:bCs/>
          <w:color w:val="000000"/>
          <w:kern w:val="0"/>
          <w:sz w:val="24"/>
          <w:szCs w:val="24"/>
          <w:lang w:val="en-US" w:bidi="ar-SA"/>
        </w:rPr>
        <w:t>第十一章  附则</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第四十九条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本办法由中价协组织制定，各级造价行业协会可依据本办法制定具体实施细则。</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 xml:space="preserve">第五十条 </w:t>
      </w:r>
      <w:r>
        <w:rPr>
          <w:rFonts w:hint="eastAsia" w:asciiTheme="minorEastAsia" w:hAnsiTheme="minorEastAsia" w:eastAsiaTheme="minorEastAsia" w:cstheme="minorEastAsia"/>
          <w:b/>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本办法所称“省级”，包括自治区、直辖市；所称“地市级”，包括自治州。</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color w:val="000000"/>
          <w:sz w:val="24"/>
          <w:szCs w:val="24"/>
        </w:rPr>
        <w:t>第五十一条</w:t>
      </w:r>
      <w:r>
        <w:rPr>
          <w:rFonts w:hint="eastAsia" w:asciiTheme="minorEastAsia" w:hAnsiTheme="minorEastAsia" w:eastAsiaTheme="minorEastAsia" w:cstheme="minorEastAsia"/>
          <w:color w:val="000000"/>
          <w:sz w:val="24"/>
          <w:szCs w:val="24"/>
        </w:rPr>
        <w:t xml:space="preserve"> </w:t>
      </w:r>
      <w:r>
        <w:rPr>
          <w:rFonts w:hint="eastAsia" w:asciiTheme="minorEastAsia" w:hAnsiTheme="minorEastAsia" w:eastAsiaTheme="minorEastAsia" w:cstheme="minorEastAsia"/>
          <w:color w:val="000000"/>
          <w:sz w:val="24"/>
          <w:szCs w:val="24"/>
          <w:lang w:val="en-US" w:eastAsia="zh-CN"/>
        </w:rPr>
        <w:t xml:space="preserve"> </w:t>
      </w:r>
      <w:r>
        <w:rPr>
          <w:rFonts w:hint="eastAsia" w:asciiTheme="minorEastAsia" w:hAnsiTheme="minorEastAsia" w:eastAsiaTheme="minorEastAsia" w:cstheme="minorEastAsia"/>
          <w:color w:val="000000"/>
          <w:sz w:val="24"/>
          <w:szCs w:val="24"/>
        </w:rPr>
        <w:t>本办法由中价协负责解释。</w:t>
      </w:r>
    </w:p>
    <w:p>
      <w:pPr>
        <w:keepNext w:val="0"/>
        <w:keepLines w:val="0"/>
        <w:pageBreakBefore w:val="0"/>
        <w:kinsoku/>
        <w:wordWrap/>
        <w:overflowPunct/>
        <w:topLinePunct w:val="0"/>
        <w:bidi w:val="0"/>
        <w:adjustRightInd/>
        <w:snapToGrid/>
        <w:spacing w:line="360" w:lineRule="auto"/>
        <w:ind w:firstLine="482"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sz w:val="24"/>
          <w:szCs w:val="24"/>
        </w:rPr>
        <w:t xml:space="preserve">第五十二条 </w:t>
      </w:r>
      <w:r>
        <w:rPr>
          <w:rFonts w:hint="eastAsia" w:asciiTheme="minorEastAsia" w:hAnsiTheme="minorEastAsia" w:eastAsiaTheme="minorEastAsia" w:cstheme="minorEastAsia"/>
          <w:b/>
          <w:sz w:val="24"/>
          <w:szCs w:val="24"/>
          <w:lang w:val="en-US" w:eastAsia="zh-CN"/>
        </w:rPr>
        <w:t xml:space="preserve"> </w:t>
      </w:r>
      <w:r>
        <w:rPr>
          <w:rFonts w:hint="eastAsia" w:asciiTheme="minorEastAsia" w:hAnsiTheme="minorEastAsia" w:eastAsiaTheme="minorEastAsia" w:cstheme="minorEastAsia"/>
          <w:sz w:val="24"/>
          <w:szCs w:val="24"/>
        </w:rPr>
        <w:t>本办法自2019年8月20日起施行，《工程造价咨询企业信用评价暂行办法》同时废止。</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rPr>
      </w:pP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sz w:val="24"/>
          <w:szCs w:val="24"/>
        </w:rPr>
        <w:t>附</w:t>
      </w:r>
      <w:r>
        <w:rPr>
          <w:rFonts w:hint="eastAsia" w:asciiTheme="minorEastAsia" w:hAnsiTheme="minorEastAsia" w:eastAsiaTheme="minorEastAsia" w:cstheme="minorEastAsia"/>
          <w:sz w:val="24"/>
          <w:szCs w:val="24"/>
          <w:lang w:val="en-US" w:eastAsia="zh-CN"/>
        </w:rPr>
        <w:t>表</w:t>
      </w:r>
      <w:r>
        <w:rPr>
          <w:rFonts w:hint="eastAsia" w:asciiTheme="minorEastAsia" w:hAnsiTheme="minorEastAsia" w:eastAsiaTheme="minorEastAsia" w:cstheme="minorEastAsia"/>
          <w:color w:val="000000"/>
          <w:sz w:val="24"/>
          <w:szCs w:val="24"/>
        </w:rPr>
        <w:t>1</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color w:val="000000"/>
          <w:sz w:val="24"/>
          <w:szCs w:val="24"/>
        </w:rPr>
        <w:t>工程造价咨询企业信用评价标准</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sz w:val="24"/>
          <w:szCs w:val="24"/>
        </w:rPr>
        <w:t>附</w:t>
      </w:r>
      <w:r>
        <w:rPr>
          <w:rFonts w:hint="eastAsia" w:asciiTheme="minorEastAsia" w:hAnsiTheme="minorEastAsia" w:eastAsiaTheme="minorEastAsia" w:cstheme="minorEastAsia"/>
          <w:sz w:val="24"/>
          <w:szCs w:val="24"/>
          <w:lang w:val="en-US" w:eastAsia="zh-CN"/>
        </w:rPr>
        <w:t>表</w:t>
      </w:r>
      <w:r>
        <w:rPr>
          <w:rFonts w:hint="eastAsia" w:asciiTheme="minorEastAsia" w:hAnsiTheme="minorEastAsia" w:eastAsiaTheme="minorEastAsia" w:cstheme="minorEastAsia"/>
          <w:color w:val="000000"/>
          <w:sz w:val="24"/>
          <w:szCs w:val="24"/>
        </w:rPr>
        <w:t>2</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color w:val="000000"/>
          <w:sz w:val="24"/>
          <w:szCs w:val="24"/>
        </w:rPr>
        <w:t>工程造价咨询企业营业收入及造价咨询业务收入评分表</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sz w:val="24"/>
          <w:szCs w:val="24"/>
        </w:rPr>
        <w:t>附</w:t>
      </w:r>
      <w:r>
        <w:rPr>
          <w:rFonts w:hint="eastAsia" w:asciiTheme="minorEastAsia" w:hAnsiTheme="minorEastAsia" w:eastAsiaTheme="minorEastAsia" w:cstheme="minorEastAsia"/>
          <w:sz w:val="24"/>
          <w:szCs w:val="24"/>
          <w:lang w:val="en-US" w:eastAsia="zh-CN"/>
        </w:rPr>
        <w:t>表</w:t>
      </w:r>
      <w:r>
        <w:rPr>
          <w:rFonts w:hint="eastAsia" w:asciiTheme="minorEastAsia" w:hAnsiTheme="minorEastAsia" w:eastAsiaTheme="minorEastAsia" w:cstheme="minorEastAsia"/>
          <w:color w:val="000000"/>
          <w:sz w:val="24"/>
          <w:szCs w:val="24"/>
        </w:rPr>
        <w:t>3</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color w:val="000000"/>
          <w:sz w:val="24"/>
          <w:szCs w:val="24"/>
        </w:rPr>
        <w:t>工程造价咨询企业良好行为加分表</w:t>
      </w:r>
    </w:p>
    <w:p>
      <w:pPr>
        <w:keepNext w:val="0"/>
        <w:keepLines w:val="0"/>
        <w:pageBreakBefore w:val="0"/>
        <w:kinsoku/>
        <w:wordWrap/>
        <w:overflowPunct/>
        <w:topLinePunct w:val="0"/>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sz w:val="24"/>
          <w:szCs w:val="24"/>
        </w:rPr>
        <w:t>附</w:t>
      </w:r>
      <w:r>
        <w:rPr>
          <w:rFonts w:hint="eastAsia" w:asciiTheme="minorEastAsia" w:hAnsiTheme="minorEastAsia" w:eastAsiaTheme="minorEastAsia" w:cstheme="minorEastAsia"/>
          <w:sz w:val="24"/>
          <w:szCs w:val="24"/>
          <w:lang w:val="en-US" w:eastAsia="zh-CN"/>
        </w:rPr>
        <w:t>表</w:t>
      </w:r>
      <w:r>
        <w:rPr>
          <w:rFonts w:hint="eastAsia" w:asciiTheme="minorEastAsia" w:hAnsiTheme="minorEastAsia" w:eastAsiaTheme="minorEastAsia" w:cstheme="minorEastAsia"/>
          <w:color w:val="000000"/>
          <w:sz w:val="24"/>
          <w:szCs w:val="24"/>
        </w:rPr>
        <w:t>4</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color w:val="000000"/>
          <w:sz w:val="24"/>
          <w:szCs w:val="24"/>
        </w:rPr>
        <w:t>工程造价咨询企业不良行为扣分表</w:t>
      </w:r>
      <w:r>
        <w:rPr>
          <w:rFonts w:hint="eastAsia" w:asciiTheme="minorEastAsia" w:hAnsiTheme="minorEastAsia" w:eastAsiaTheme="minorEastAsia" w:cstheme="minorEastAsia"/>
          <w:position w:val="-6"/>
          <w:sz w:val="24"/>
          <w:szCs w:val="24"/>
        </w:rPr>
        <w:t xml:space="preserve"> </w:t>
      </w:r>
    </w:p>
    <w:p>
      <w:pPr>
        <w:spacing w:before="0" w:line="240" w:lineRule="auto"/>
        <w:rPr>
          <w:rFonts w:hint="eastAsia" w:asciiTheme="minorEastAsia" w:hAnsiTheme="minorEastAsia" w:eastAsiaTheme="minorEastAsia" w:cstheme="minorEastAsia"/>
          <w:b/>
          <w:sz w:val="24"/>
          <w:szCs w:val="24"/>
        </w:rPr>
      </w:pPr>
    </w:p>
    <w:p>
      <w:pPr>
        <w:spacing w:before="0" w:line="240" w:lineRule="auto"/>
        <w:rPr>
          <w:rFonts w:hint="eastAsia" w:asciiTheme="minorEastAsia" w:hAnsiTheme="minorEastAsia" w:eastAsiaTheme="minorEastAsia" w:cstheme="minorEastAsia"/>
          <w:b/>
          <w:sz w:val="24"/>
          <w:szCs w:val="24"/>
        </w:rPr>
      </w:pPr>
    </w:p>
    <w:p>
      <w:pPr>
        <w:spacing w:before="0" w:line="240" w:lineRule="auto"/>
        <w:rPr>
          <w:rFonts w:hint="eastAsia" w:asciiTheme="minorEastAsia" w:hAnsiTheme="minorEastAsia" w:eastAsiaTheme="minorEastAsia" w:cstheme="minorEastAsia"/>
          <w:b/>
          <w:sz w:val="24"/>
          <w:szCs w:val="24"/>
        </w:rPr>
      </w:pPr>
    </w:p>
    <w:p>
      <w:pPr>
        <w:keepNext w:val="0"/>
        <w:keepLines w:val="0"/>
        <w:pageBreakBefore w:val="0"/>
        <w:widowControl w:val="0"/>
        <w:kinsoku/>
        <w:wordWrap/>
        <w:overflowPunct/>
        <w:topLinePunct w:val="0"/>
        <w:autoSpaceDE w:val="0"/>
        <w:autoSpaceDN w:val="0"/>
        <w:bidi w:val="0"/>
        <w:adjustRightInd/>
        <w:snapToGrid/>
        <w:spacing w:line="360" w:lineRule="auto"/>
        <w:jc w:val="right"/>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中国建设工程造价管理协会</w:t>
      </w:r>
    </w:p>
    <w:p>
      <w:pPr>
        <w:keepNext w:val="0"/>
        <w:keepLines w:val="0"/>
        <w:pageBreakBefore w:val="0"/>
        <w:widowControl w:val="0"/>
        <w:kinsoku/>
        <w:wordWrap/>
        <w:overflowPunct/>
        <w:topLinePunct w:val="0"/>
        <w:autoSpaceDE w:val="0"/>
        <w:autoSpaceDN w:val="0"/>
        <w:bidi w:val="0"/>
        <w:adjustRightInd/>
        <w:snapToGrid/>
        <w:spacing w:line="360" w:lineRule="auto"/>
        <w:jc w:val="right"/>
        <w:textAlignment w:val="auto"/>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2019年8月20日</w:t>
      </w:r>
    </w:p>
    <w:p>
      <w:pPr>
        <w:jc w:val="right"/>
        <w:rPr>
          <w:rFonts w:hint="eastAsia" w:asciiTheme="minorEastAsia" w:hAnsiTheme="minorEastAsia" w:eastAsiaTheme="minorEastAsia" w:cstheme="minorEastAsia"/>
          <w:sz w:val="24"/>
          <w:szCs w:val="24"/>
        </w:rPr>
      </w:pPr>
    </w:p>
    <w:p>
      <w:pPr>
        <w:rPr>
          <w:rFonts w:hint="eastAsia" w:asciiTheme="minorEastAsia" w:hAnsiTheme="minorEastAsia" w:eastAsiaTheme="minorEastAsia" w:cstheme="minorEastAsia"/>
          <w:sz w:val="24"/>
          <w:szCs w:val="24"/>
        </w:rPr>
      </w:pPr>
    </w:p>
    <w:p>
      <w:pPr>
        <w:pStyle w:val="2"/>
        <w:widowControl/>
        <w:autoSpaceDE/>
        <w:autoSpaceDN/>
        <w:spacing w:before="100" w:beforeAutospacing="1" w:after="100" w:afterAutospacing="1" w:line="578" w:lineRule="exact"/>
        <w:ind w:left="0" w:right="0"/>
        <w:jc w:val="both"/>
        <w:outlineLvl w:val="1"/>
        <w:rPr>
          <w:rFonts w:hint="eastAsia" w:asciiTheme="minorEastAsia" w:hAnsiTheme="minorEastAsia" w:eastAsiaTheme="minorEastAsia" w:cstheme="minorEastAsia"/>
          <w:sz w:val="24"/>
          <w:szCs w:val="24"/>
        </w:rPr>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pgNumType w:fmt="decimal"/>
          <w:cols w:space="425" w:num="1"/>
          <w:docGrid w:type="lines" w:linePitch="312" w:charSpace="0"/>
        </w:sectPr>
      </w:pPr>
    </w:p>
    <w:p>
      <w:pPr>
        <w:jc w:val="both"/>
        <w:rPr>
          <w:rFonts w:hint="eastAsia" w:asciiTheme="minorEastAsia" w:hAnsiTheme="minorEastAsia" w:eastAsiaTheme="minorEastAsia" w:cstheme="minorEastAsia"/>
          <w:b/>
          <w:bCs/>
          <w:sz w:val="28"/>
          <w:szCs w:val="28"/>
          <w:lang w:val="en-US" w:eastAsia="zh-CN"/>
        </w:rPr>
      </w:pPr>
      <w:r>
        <w:rPr>
          <w:rFonts w:hint="eastAsia" w:asciiTheme="minorEastAsia" w:hAnsiTheme="minorEastAsia" w:eastAsiaTheme="minorEastAsia" w:cstheme="minorEastAsia"/>
          <w:b/>
          <w:bCs/>
          <w:sz w:val="28"/>
          <w:szCs w:val="28"/>
          <w:lang w:val="en-US" w:eastAsia="zh-CN"/>
        </w:rPr>
        <w:t>附表1：                            工程造价咨询企业信用评价标准</w:t>
      </w:r>
    </w:p>
    <w:tbl>
      <w:tblPr>
        <w:tblStyle w:val="6"/>
        <w:tblW w:w="14113" w:type="dxa"/>
        <w:tblInd w:w="0" w:type="dxa"/>
        <w:shd w:val="clear" w:color="auto" w:fill="auto"/>
        <w:tblLayout w:type="fixed"/>
        <w:tblCellMar>
          <w:top w:w="0" w:type="dxa"/>
          <w:left w:w="0" w:type="dxa"/>
          <w:bottom w:w="0" w:type="dxa"/>
          <w:right w:w="0" w:type="dxa"/>
        </w:tblCellMar>
      </w:tblPr>
      <w:tblGrid>
        <w:gridCol w:w="27"/>
        <w:gridCol w:w="899"/>
        <w:gridCol w:w="106"/>
        <w:gridCol w:w="660"/>
        <w:gridCol w:w="225"/>
        <w:gridCol w:w="795"/>
        <w:gridCol w:w="2653"/>
        <w:gridCol w:w="182"/>
        <w:gridCol w:w="1080"/>
        <w:gridCol w:w="451"/>
        <w:gridCol w:w="344"/>
        <w:gridCol w:w="181"/>
        <w:gridCol w:w="299"/>
        <w:gridCol w:w="181"/>
        <w:gridCol w:w="239"/>
        <w:gridCol w:w="256"/>
        <w:gridCol w:w="194"/>
        <w:gridCol w:w="2686"/>
        <w:gridCol w:w="464"/>
        <w:gridCol w:w="376"/>
        <w:gridCol w:w="1815"/>
      </w:tblGrid>
      <w:tr>
        <w:tblPrEx>
          <w:shd w:val="clear" w:color="auto" w:fill="auto"/>
          <w:tblLayout w:type="fixed"/>
          <w:tblCellMar>
            <w:top w:w="0" w:type="dxa"/>
            <w:left w:w="0" w:type="dxa"/>
            <w:bottom w:w="0" w:type="dxa"/>
            <w:right w:w="0" w:type="dxa"/>
          </w:tblCellMar>
        </w:tblPrEx>
        <w:trPr>
          <w:gridBefore w:val="1"/>
          <w:wBefore w:w="27" w:type="dxa"/>
          <w:trHeight w:val="816" w:hRule="atLeast"/>
        </w:trPr>
        <w:tc>
          <w:tcPr>
            <w:tcW w:w="100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885"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79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评价标准</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计算公式</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得分限额</w:t>
            </w: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得分</w:t>
            </w:r>
          </w:p>
        </w:tc>
        <w:tc>
          <w:tcPr>
            <w:tcW w:w="4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扣分限额</w:t>
            </w:r>
          </w:p>
        </w:tc>
        <w:tc>
          <w:tcPr>
            <w:tcW w:w="45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扣分</w:t>
            </w:r>
          </w:p>
        </w:tc>
        <w:tc>
          <w:tcPr>
            <w:tcW w:w="315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说明</w:t>
            </w:r>
          </w:p>
        </w:tc>
        <w:tc>
          <w:tcPr>
            <w:tcW w:w="2191"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 xml:space="preserve"> 数据来源</w:t>
            </w:r>
          </w:p>
        </w:tc>
      </w:tr>
      <w:tr>
        <w:tblPrEx>
          <w:tblLayout w:type="fixed"/>
          <w:tblCellMar>
            <w:top w:w="0" w:type="dxa"/>
            <w:left w:w="0" w:type="dxa"/>
            <w:bottom w:w="0" w:type="dxa"/>
            <w:right w:w="0" w:type="dxa"/>
          </w:tblCellMar>
        </w:tblPrEx>
        <w:trPr>
          <w:gridBefore w:val="1"/>
          <w:wBefore w:w="27" w:type="dxa"/>
          <w:trHeight w:val="470" w:hRule="atLeast"/>
        </w:trPr>
        <w:tc>
          <w:tcPr>
            <w:tcW w:w="1005"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numPr>
                <w:ilvl w:val="0"/>
                <w:numId w:val="1"/>
              </w:numPr>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基本</w:t>
            </w:r>
          </w:p>
          <w:p>
            <w:pPr>
              <w:keepNext w:val="0"/>
              <w:keepLines w:val="0"/>
              <w:widowControl/>
              <w:numPr>
                <w:ilvl w:val="0"/>
                <w:numId w:val="0"/>
              </w:numPr>
              <w:suppressLineNumbers w:val="0"/>
              <w:ind w:right="0" w:rightChars="0" w:firstLine="360" w:firstLineChars="200"/>
              <w:jc w:val="both"/>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情况</w:t>
            </w:r>
          </w:p>
        </w:tc>
        <w:tc>
          <w:tcPr>
            <w:tcW w:w="885"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人员结构</w:t>
            </w:r>
          </w:p>
        </w:tc>
        <w:tc>
          <w:tcPr>
            <w:tcW w:w="79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1.1.1</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技术负责人</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具有一级注册造价工程师职业资格</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Arial Narrow" w:hAnsi="Arial Narrow" w:eastAsia="Arial Narrow" w:cs="Arial Narrow"/>
                <w:i w:val="0"/>
                <w:color w:val="000000"/>
                <w:sz w:val="18"/>
                <w:szCs w:val="18"/>
                <w:u w:val="none"/>
              </w:rPr>
            </w:pP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1</w:t>
            </w: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4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45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15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191"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gridBefore w:val="1"/>
          <w:wBefore w:w="27" w:type="dxa"/>
          <w:trHeight w:val="1544" w:hRule="atLeast"/>
        </w:trPr>
        <w:tc>
          <w:tcPr>
            <w:tcW w:w="100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8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具有一级造价工程师以外的与造价相关的其它职业资格或工程类、经济类高级职称</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1</w:t>
            </w: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4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45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15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与造价相关的其它职业资格是指咨询师、建造师、建筑师、监理工程师、规划师、勘察设计注册师(注册结构工程师、注册土木工程师、注册电气工程师等)、注册会计师、资产评估师、房地产估价师、职业律师等相关职业资格。</w:t>
            </w:r>
          </w:p>
        </w:tc>
        <w:tc>
          <w:tcPr>
            <w:tcW w:w="2191"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1.造价工程师管理系统。</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2.造价工程师管理系统没有的由企业自行申报。</w:t>
            </w:r>
          </w:p>
        </w:tc>
      </w:tr>
      <w:tr>
        <w:tblPrEx>
          <w:tblLayout w:type="fixed"/>
          <w:tblCellMar>
            <w:top w:w="0" w:type="dxa"/>
            <w:left w:w="0" w:type="dxa"/>
            <w:bottom w:w="0" w:type="dxa"/>
            <w:right w:w="0" w:type="dxa"/>
          </w:tblCellMar>
        </w:tblPrEx>
        <w:trPr>
          <w:gridBefore w:val="1"/>
          <w:wBefore w:w="27" w:type="dxa"/>
          <w:trHeight w:val="695" w:hRule="atLeast"/>
        </w:trPr>
        <w:tc>
          <w:tcPr>
            <w:tcW w:w="100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8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Style w:val="13"/>
                <w:sz w:val="18"/>
                <w:szCs w:val="18"/>
                <w:lang w:val="en-US" w:eastAsia="zh-CN" w:bidi="ar"/>
              </w:rPr>
              <w:t>1.1.2                    注册造价工程师</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每有1名一级注册造价工程师得1分</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每有1名二级注册造价工程师得0.5分</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Style w:val="14"/>
                <w:sz w:val="18"/>
                <w:szCs w:val="18"/>
                <w:lang w:val="en-US" w:eastAsia="zh-CN" w:bidi="ar"/>
              </w:rPr>
              <w:t>1*X</w:t>
            </w:r>
            <w:r>
              <w:rPr>
                <w:rStyle w:val="15"/>
                <w:sz w:val="18"/>
                <w:szCs w:val="18"/>
                <w:lang w:val="en-US" w:eastAsia="zh-CN" w:bidi="ar"/>
              </w:rPr>
              <w:t>1</w:t>
            </w:r>
            <w:r>
              <w:rPr>
                <w:rStyle w:val="14"/>
                <w:sz w:val="18"/>
                <w:szCs w:val="18"/>
                <w:lang w:val="en-US" w:eastAsia="zh-CN" w:bidi="ar"/>
              </w:rPr>
              <w:t>+0.5*X</w:t>
            </w:r>
            <w:r>
              <w:rPr>
                <w:rStyle w:val="15"/>
                <w:sz w:val="18"/>
                <w:szCs w:val="18"/>
                <w:lang w:val="en-US" w:eastAsia="zh-CN" w:bidi="ar"/>
              </w:rPr>
              <w:t>2</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15</w:t>
            </w: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4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45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15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Style w:val="13"/>
                <w:sz w:val="18"/>
                <w:szCs w:val="18"/>
                <w:lang w:val="en-US" w:eastAsia="zh-CN" w:bidi="ar"/>
              </w:rPr>
              <w:t>“X</w:t>
            </w:r>
            <w:r>
              <w:rPr>
                <w:rStyle w:val="16"/>
                <w:sz w:val="18"/>
                <w:szCs w:val="18"/>
                <w:lang w:val="en-US" w:eastAsia="zh-CN" w:bidi="ar"/>
              </w:rPr>
              <w:t>1</w:t>
            </w:r>
            <w:r>
              <w:rPr>
                <w:rStyle w:val="13"/>
                <w:sz w:val="18"/>
                <w:szCs w:val="18"/>
                <w:lang w:val="en-US" w:eastAsia="zh-CN" w:bidi="ar"/>
              </w:rPr>
              <w:t>”指注册在该企业的一级注册造价工程师的人数,“X</w:t>
            </w:r>
            <w:r>
              <w:rPr>
                <w:rStyle w:val="16"/>
                <w:sz w:val="18"/>
                <w:szCs w:val="18"/>
                <w:lang w:val="en-US" w:eastAsia="zh-CN" w:bidi="ar"/>
              </w:rPr>
              <w:t>2</w:t>
            </w:r>
            <w:r>
              <w:rPr>
                <w:rStyle w:val="13"/>
                <w:sz w:val="18"/>
                <w:szCs w:val="18"/>
                <w:lang w:val="en-US" w:eastAsia="zh-CN" w:bidi="ar"/>
              </w:rPr>
              <w:t>”指注册在该企业的二级注册造价工程师的人数。</w:t>
            </w:r>
          </w:p>
        </w:tc>
        <w:tc>
          <w:tcPr>
            <w:tcW w:w="2191"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造价工程师管理系统中自动获取。</w:t>
            </w:r>
          </w:p>
        </w:tc>
      </w:tr>
      <w:tr>
        <w:tblPrEx>
          <w:tblLayout w:type="fixed"/>
          <w:tblCellMar>
            <w:top w:w="0" w:type="dxa"/>
            <w:left w:w="0" w:type="dxa"/>
            <w:bottom w:w="0" w:type="dxa"/>
            <w:right w:w="0" w:type="dxa"/>
          </w:tblCellMar>
        </w:tblPrEx>
        <w:trPr>
          <w:gridBefore w:val="1"/>
          <w:wBefore w:w="27" w:type="dxa"/>
          <w:trHeight w:val="1180" w:hRule="atLeast"/>
        </w:trPr>
        <w:tc>
          <w:tcPr>
            <w:tcW w:w="100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8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1.1.3</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职称结构 </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Style w:val="13"/>
                <w:sz w:val="18"/>
                <w:szCs w:val="18"/>
                <w:lang w:val="en-US" w:eastAsia="zh-CN" w:bidi="ar"/>
              </w:rPr>
              <w:t>每有1名高级（及以上）职称人员得0.4分</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0.4*X</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2</w:t>
            </w: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4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45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15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“X”为高级（及以上）职称的人员数量。</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高级职称指高级工程师、高级经济师、高级会计师等与造价相关的职称。</w:t>
            </w:r>
          </w:p>
        </w:tc>
        <w:tc>
          <w:tcPr>
            <w:tcW w:w="2191"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从造价工程师管理系统、会员服务系统中自动导入，如导入数据与实际不符，由企业自行申报。</w:t>
            </w:r>
          </w:p>
        </w:tc>
      </w:tr>
      <w:tr>
        <w:tblPrEx>
          <w:tblLayout w:type="fixed"/>
          <w:tblCellMar>
            <w:top w:w="0" w:type="dxa"/>
            <w:left w:w="0" w:type="dxa"/>
            <w:bottom w:w="0" w:type="dxa"/>
            <w:right w:w="0" w:type="dxa"/>
          </w:tblCellMar>
        </w:tblPrEx>
        <w:trPr>
          <w:gridBefore w:val="1"/>
          <w:wBefore w:w="27" w:type="dxa"/>
          <w:trHeight w:val="710" w:hRule="atLeast"/>
        </w:trPr>
        <w:tc>
          <w:tcPr>
            <w:tcW w:w="100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85"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各类组织</w:t>
            </w:r>
          </w:p>
        </w:tc>
        <w:tc>
          <w:tcPr>
            <w:tcW w:w="79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1.2.1</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党组织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党组织健全或党建活动正常</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3</w:t>
            </w: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4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45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15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未建立党组织的，上一年度正常开展或参加党建活动的也可得分。</w:t>
            </w:r>
          </w:p>
        </w:tc>
        <w:tc>
          <w:tcPr>
            <w:tcW w:w="2191"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gridBefore w:val="1"/>
          <w:wBefore w:w="27" w:type="dxa"/>
          <w:trHeight w:val="740" w:hRule="atLeast"/>
        </w:trPr>
        <w:tc>
          <w:tcPr>
            <w:tcW w:w="100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8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1.2.2</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其它组织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有工会或妇联等组织，活动正常</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2</w:t>
            </w: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4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45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15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未建立工会或妇联等组织的，上一年度正常开展相关活动的也可得分。</w:t>
            </w:r>
          </w:p>
        </w:tc>
        <w:tc>
          <w:tcPr>
            <w:tcW w:w="2191"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gridBefore w:val="1"/>
          <w:wBefore w:w="27" w:type="dxa"/>
          <w:trHeight w:val="702" w:hRule="atLeast"/>
        </w:trPr>
        <w:tc>
          <w:tcPr>
            <w:tcW w:w="100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8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1.2.3</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个人会员</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企业有省级以上造价协会个人会员的，每1名得0.2分</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0.2*X</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2</w:t>
            </w: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4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45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15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“X”为省级以上造价协会个人会员数量。</w:t>
            </w:r>
          </w:p>
        </w:tc>
        <w:tc>
          <w:tcPr>
            <w:tcW w:w="2191"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从会员服务系统中自动导入或企业自行填报，省级以上协会确认。</w:t>
            </w:r>
          </w:p>
        </w:tc>
      </w:tr>
      <w:tr>
        <w:tblPrEx>
          <w:tblLayout w:type="fixed"/>
          <w:tblCellMar>
            <w:top w:w="0" w:type="dxa"/>
            <w:left w:w="0" w:type="dxa"/>
            <w:bottom w:w="0" w:type="dxa"/>
            <w:right w:w="0" w:type="dxa"/>
          </w:tblCellMar>
        </w:tblPrEx>
        <w:trPr>
          <w:gridBefore w:val="1"/>
          <w:wBefore w:w="27" w:type="dxa"/>
          <w:trHeight w:val="702" w:hRule="atLeast"/>
        </w:trPr>
        <w:tc>
          <w:tcPr>
            <w:tcW w:w="8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76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b/>
                <w:i w:val="0"/>
                <w:color w:val="000000"/>
                <w:kern w:val="0"/>
                <w:sz w:val="18"/>
                <w:szCs w:val="18"/>
                <w:u w:val="none"/>
                <w:lang w:val="en-US" w:eastAsia="zh-CN" w:bidi="ar"/>
              </w:rPr>
              <w:t>三级指标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b/>
                <w:i w:val="0"/>
                <w:color w:val="000000"/>
                <w:kern w:val="0"/>
                <w:sz w:val="18"/>
                <w:szCs w:val="18"/>
                <w:u w:val="none"/>
                <w:lang w:val="en-US" w:eastAsia="zh-CN" w:bidi="ar"/>
              </w:rPr>
              <w:t>评价标准</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default" w:ascii="Arial Narrow" w:hAnsi="Arial Narrow" w:eastAsia="Arial Narrow" w:cs="Arial Narrow"/>
                <w:i w:val="0"/>
                <w:color w:val="000000"/>
                <w:kern w:val="0"/>
                <w:sz w:val="18"/>
                <w:szCs w:val="18"/>
                <w:u w:val="none"/>
                <w:lang w:val="en-US" w:eastAsia="zh-CN" w:bidi="ar"/>
              </w:rPr>
            </w:pPr>
            <w:r>
              <w:rPr>
                <w:rFonts w:hint="eastAsia" w:ascii="宋体" w:hAnsi="宋体" w:eastAsia="宋体" w:cs="宋体"/>
                <w:b/>
                <w:i w:val="0"/>
                <w:color w:val="000000"/>
                <w:kern w:val="0"/>
                <w:sz w:val="18"/>
                <w:szCs w:val="18"/>
                <w:u w:val="none"/>
                <w:lang w:val="en-US" w:eastAsia="zh-CN" w:bidi="ar"/>
              </w:rPr>
              <w:t>计算公式</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default" w:ascii="Arial Narrow" w:hAnsi="Arial Narrow" w:eastAsia="Arial Narrow" w:cs="Arial Narrow"/>
                <w:i w:val="0"/>
                <w:color w:val="000000"/>
                <w:kern w:val="0"/>
                <w:sz w:val="18"/>
                <w:szCs w:val="18"/>
                <w:u w:val="none"/>
                <w:lang w:val="en-US" w:eastAsia="zh-CN" w:bidi="ar"/>
              </w:rPr>
            </w:pPr>
            <w:r>
              <w:rPr>
                <w:rFonts w:hint="eastAsia" w:ascii="宋体" w:hAnsi="宋体" w:eastAsia="宋体" w:cs="宋体"/>
                <w:b/>
                <w:i w:val="0"/>
                <w:color w:val="000000"/>
                <w:kern w:val="0"/>
                <w:sz w:val="18"/>
                <w:szCs w:val="18"/>
                <w:u w:val="none"/>
                <w:lang w:val="en-US" w:eastAsia="zh-CN" w:bidi="ar"/>
              </w:rPr>
              <w:t>得分限额</w:t>
            </w: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000000"/>
                <w:sz w:val="18"/>
                <w:szCs w:val="18"/>
                <w:u w:val="none"/>
              </w:rPr>
            </w:pPr>
            <w:r>
              <w:rPr>
                <w:rFonts w:hint="eastAsia" w:ascii="宋体" w:hAnsi="宋体" w:eastAsia="宋体" w:cs="宋体"/>
                <w:b/>
                <w:i w:val="0"/>
                <w:color w:val="000000"/>
                <w:kern w:val="0"/>
                <w:sz w:val="18"/>
                <w:szCs w:val="18"/>
                <w:u w:val="none"/>
                <w:lang w:val="en-US" w:eastAsia="zh-CN" w:bidi="ar"/>
              </w:rPr>
              <w:t>得分</w:t>
            </w:r>
          </w:p>
        </w:tc>
        <w:tc>
          <w:tcPr>
            <w:tcW w:w="4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default" w:ascii="Arial Narrow" w:hAnsi="Arial Narrow" w:eastAsia="Arial Narrow" w:cs="Arial Narrow"/>
                <w:i w:val="0"/>
                <w:color w:val="000000"/>
                <w:sz w:val="18"/>
                <w:szCs w:val="18"/>
                <w:u w:val="none"/>
              </w:rPr>
            </w:pPr>
            <w:r>
              <w:rPr>
                <w:rFonts w:hint="eastAsia" w:ascii="宋体" w:hAnsi="宋体" w:eastAsia="宋体" w:cs="宋体"/>
                <w:b/>
                <w:i w:val="0"/>
                <w:color w:val="000000"/>
                <w:kern w:val="0"/>
                <w:sz w:val="18"/>
                <w:szCs w:val="18"/>
                <w:u w:val="none"/>
                <w:lang w:val="en-US" w:eastAsia="zh-CN" w:bidi="ar"/>
              </w:rPr>
              <w:t>扣分限额</w:t>
            </w:r>
          </w:p>
        </w:tc>
        <w:tc>
          <w:tcPr>
            <w:tcW w:w="45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000000"/>
                <w:sz w:val="18"/>
                <w:szCs w:val="18"/>
                <w:u w:val="none"/>
              </w:rPr>
            </w:pPr>
            <w:r>
              <w:rPr>
                <w:rFonts w:hint="eastAsia" w:ascii="宋体" w:hAnsi="宋体" w:eastAsia="宋体" w:cs="宋体"/>
                <w:b/>
                <w:i w:val="0"/>
                <w:color w:val="000000"/>
                <w:kern w:val="0"/>
                <w:sz w:val="18"/>
                <w:szCs w:val="18"/>
                <w:u w:val="none"/>
                <w:lang w:val="en-US" w:eastAsia="zh-CN" w:bidi="ar"/>
              </w:rPr>
              <w:t>扣分</w:t>
            </w:r>
          </w:p>
        </w:tc>
        <w:tc>
          <w:tcPr>
            <w:tcW w:w="315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b/>
                <w:i w:val="0"/>
                <w:color w:val="000000"/>
                <w:kern w:val="0"/>
                <w:sz w:val="18"/>
                <w:szCs w:val="18"/>
                <w:u w:val="none"/>
                <w:lang w:val="en-US" w:eastAsia="zh-CN" w:bidi="ar"/>
              </w:rPr>
              <w:t>说明</w:t>
            </w:r>
          </w:p>
        </w:tc>
        <w:tc>
          <w:tcPr>
            <w:tcW w:w="2191"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b/>
                <w:i w:val="0"/>
                <w:color w:val="000000"/>
                <w:kern w:val="0"/>
                <w:sz w:val="18"/>
                <w:szCs w:val="18"/>
                <w:u w:val="none"/>
                <w:lang w:val="en-US" w:eastAsia="zh-CN" w:bidi="ar"/>
              </w:rPr>
              <w:t xml:space="preserve"> 数据来源</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gridBefore w:val="1"/>
          <w:wBefore w:w="27" w:type="dxa"/>
          <w:trHeight w:val="768" w:hRule="atLeast"/>
        </w:trPr>
        <w:tc>
          <w:tcPr>
            <w:tcW w:w="899" w:type="dxa"/>
            <w:vMerge w:val="restart"/>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2.经营    管理</w:t>
            </w:r>
          </w:p>
        </w:tc>
        <w:tc>
          <w:tcPr>
            <w:tcW w:w="766" w:type="dxa"/>
            <w:gridSpan w:val="2"/>
            <w:vMerge w:val="restart"/>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2.1                     经营能力</w:t>
            </w:r>
          </w:p>
        </w:tc>
        <w:tc>
          <w:tcPr>
            <w:tcW w:w="1020"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Style w:val="17"/>
                <w:rFonts w:hint="eastAsia" w:asciiTheme="minorEastAsia" w:hAnsiTheme="minorEastAsia" w:eastAsiaTheme="minorEastAsia" w:cstheme="minorEastAsia"/>
                <w:sz w:val="18"/>
                <w:szCs w:val="18"/>
                <w:lang w:val="en-US" w:eastAsia="zh-CN" w:bidi="ar"/>
              </w:rPr>
              <w:t>2.1.1                       营业收入</w:t>
            </w:r>
          </w:p>
        </w:tc>
        <w:tc>
          <w:tcPr>
            <w:tcW w:w="2835" w:type="dxa"/>
            <w:gridSpan w:val="2"/>
            <w:vMerge w:val="restart"/>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按地区排名评分，详见附件2《工程造价咨询企业营业收入及造价咨询业务收入评分表》</w:t>
            </w:r>
          </w:p>
        </w:tc>
        <w:tc>
          <w:tcPr>
            <w:tcW w:w="1080" w:type="dxa"/>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0</w:t>
            </w:r>
            <w:r>
              <w:rPr>
                <w:rFonts w:hint="eastAsia" w:ascii="微软雅黑" w:hAnsi="微软雅黑" w:eastAsia="微软雅黑" w:cs="微软雅黑"/>
                <w:i w:val="0"/>
                <w:color w:val="000000"/>
                <w:kern w:val="0"/>
                <w:sz w:val="18"/>
                <w:szCs w:val="18"/>
                <w:u w:val="none"/>
                <w:lang w:val="en-US" w:eastAsia="zh-CN" w:bidi="ar"/>
              </w:rPr>
              <w:t>∽</w:t>
            </w:r>
            <w:r>
              <w:rPr>
                <w:rFonts w:hint="eastAsia" w:asciiTheme="minorEastAsia" w:hAnsiTheme="minorEastAsia" w:eastAsiaTheme="minorEastAsia" w:cstheme="minorEastAsia"/>
                <w:i w:val="0"/>
                <w:color w:val="000000"/>
                <w:kern w:val="0"/>
                <w:sz w:val="18"/>
                <w:szCs w:val="18"/>
                <w:u w:val="none"/>
                <w:lang w:val="en-US" w:eastAsia="zh-CN" w:bidi="ar"/>
              </w:rPr>
              <w:t>4</w:t>
            </w:r>
          </w:p>
        </w:tc>
        <w:tc>
          <w:tcPr>
            <w:tcW w:w="795"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4</w:t>
            </w:r>
          </w:p>
        </w:tc>
        <w:tc>
          <w:tcPr>
            <w:tcW w:w="480" w:type="dxa"/>
            <w:gridSpan w:val="2"/>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420" w:type="dxa"/>
            <w:gridSpan w:val="2"/>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450" w:type="dxa"/>
            <w:gridSpan w:val="2"/>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3150" w:type="dxa"/>
            <w:gridSpan w:val="2"/>
            <w:vMerge w:val="restart"/>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1、营业收入=工程造价咨询业务收入+其它业务收入；</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2、其它业务收入=招标代理业务收入+项目管理业务收入+工程咨询业务收入；</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3、均采用上年度的年收入。</w:t>
            </w:r>
          </w:p>
        </w:tc>
        <w:tc>
          <w:tcPr>
            <w:tcW w:w="2191" w:type="dxa"/>
            <w:gridSpan w:val="2"/>
            <w:vMerge w:val="restart"/>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根据国家“工程造价咨询统计报表制度”由信用评价系统从“工程造价咨询统计报表系统”导入企业上年度相关数据。</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gridBefore w:val="1"/>
          <w:wBefore w:w="27" w:type="dxa"/>
          <w:trHeight w:val="1102" w:hRule="atLeast"/>
        </w:trPr>
        <w:tc>
          <w:tcPr>
            <w:tcW w:w="899" w:type="dxa"/>
            <w:vMerge w:val="continue"/>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66" w:type="dxa"/>
            <w:gridSpan w:val="2"/>
            <w:vMerge w:val="continue"/>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1020"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2.1.2</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工程造价咨询业务收入</w:t>
            </w:r>
          </w:p>
        </w:tc>
        <w:tc>
          <w:tcPr>
            <w:tcW w:w="2835" w:type="dxa"/>
            <w:gridSpan w:val="2"/>
            <w:vMerge w:val="continue"/>
            <w:tcBorders>
              <w:tl2br w:val="nil"/>
              <w:tr2bl w:val="nil"/>
            </w:tcBorders>
            <w:shd w:val="clear" w:color="auto" w:fill="FFFFFF"/>
            <w:tcMar>
              <w:top w:w="15" w:type="dxa"/>
              <w:left w:w="15" w:type="dxa"/>
              <w:right w:w="15" w:type="dxa"/>
            </w:tcMar>
            <w:vAlign w:val="center"/>
          </w:tcPr>
          <w:p>
            <w:pPr>
              <w:jc w:val="left"/>
              <w:rPr>
                <w:rFonts w:hint="eastAsia" w:asciiTheme="minorEastAsia" w:hAnsiTheme="minorEastAsia" w:eastAsiaTheme="minorEastAsia" w:cstheme="minorEastAsia"/>
                <w:i w:val="0"/>
                <w:color w:val="000000"/>
                <w:sz w:val="18"/>
                <w:szCs w:val="18"/>
                <w:u w:val="none"/>
              </w:rPr>
            </w:pPr>
          </w:p>
        </w:tc>
        <w:tc>
          <w:tcPr>
            <w:tcW w:w="1080" w:type="dxa"/>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0</w:t>
            </w:r>
            <w:r>
              <w:rPr>
                <w:rFonts w:hint="eastAsia" w:ascii="微软雅黑" w:hAnsi="微软雅黑" w:eastAsia="微软雅黑" w:cs="微软雅黑"/>
                <w:i w:val="0"/>
                <w:color w:val="000000"/>
                <w:kern w:val="0"/>
                <w:sz w:val="18"/>
                <w:szCs w:val="18"/>
                <w:u w:val="none"/>
                <w:lang w:val="en-US" w:eastAsia="zh-CN" w:bidi="ar"/>
              </w:rPr>
              <w:t>∽</w:t>
            </w:r>
            <w:r>
              <w:rPr>
                <w:rFonts w:hint="eastAsia" w:asciiTheme="minorEastAsia" w:hAnsiTheme="minorEastAsia" w:eastAsiaTheme="minorEastAsia" w:cstheme="minorEastAsia"/>
                <w:i w:val="0"/>
                <w:color w:val="000000"/>
                <w:kern w:val="0"/>
                <w:sz w:val="18"/>
                <w:szCs w:val="18"/>
                <w:u w:val="none"/>
                <w:lang w:val="en-US" w:eastAsia="zh-CN" w:bidi="ar"/>
              </w:rPr>
              <w:t>10</w:t>
            </w:r>
          </w:p>
        </w:tc>
        <w:tc>
          <w:tcPr>
            <w:tcW w:w="795"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10</w:t>
            </w:r>
          </w:p>
        </w:tc>
        <w:tc>
          <w:tcPr>
            <w:tcW w:w="480" w:type="dxa"/>
            <w:gridSpan w:val="2"/>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420" w:type="dxa"/>
            <w:gridSpan w:val="2"/>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450" w:type="dxa"/>
            <w:gridSpan w:val="2"/>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3150" w:type="dxa"/>
            <w:gridSpan w:val="2"/>
            <w:vMerge w:val="continue"/>
            <w:tcBorders>
              <w:tl2br w:val="nil"/>
              <w:tr2bl w:val="nil"/>
            </w:tcBorders>
            <w:shd w:val="clear" w:color="auto" w:fill="FFFFFF"/>
            <w:tcMar>
              <w:top w:w="15" w:type="dxa"/>
              <w:left w:w="15" w:type="dxa"/>
              <w:right w:w="15" w:type="dxa"/>
            </w:tcMar>
            <w:vAlign w:val="center"/>
          </w:tcPr>
          <w:p>
            <w:pPr>
              <w:jc w:val="left"/>
              <w:rPr>
                <w:rFonts w:hint="eastAsia" w:asciiTheme="minorEastAsia" w:hAnsiTheme="minorEastAsia" w:eastAsiaTheme="minorEastAsia" w:cstheme="minorEastAsia"/>
                <w:i w:val="0"/>
                <w:color w:val="000000"/>
                <w:sz w:val="18"/>
                <w:szCs w:val="18"/>
                <w:u w:val="none"/>
              </w:rPr>
            </w:pPr>
          </w:p>
        </w:tc>
        <w:tc>
          <w:tcPr>
            <w:tcW w:w="2191" w:type="dxa"/>
            <w:gridSpan w:val="2"/>
            <w:vMerge w:val="continue"/>
            <w:tcBorders>
              <w:tl2br w:val="nil"/>
              <w:tr2bl w:val="nil"/>
            </w:tcBorders>
            <w:shd w:val="clear" w:color="auto" w:fill="FFFFFF"/>
            <w:tcMar>
              <w:top w:w="15" w:type="dxa"/>
              <w:left w:w="15" w:type="dxa"/>
              <w:right w:w="15" w:type="dxa"/>
            </w:tcMar>
            <w:vAlign w:val="center"/>
          </w:tcPr>
          <w:p>
            <w:pPr>
              <w:jc w:val="left"/>
              <w:rPr>
                <w:rFonts w:hint="eastAsia" w:asciiTheme="minorEastAsia" w:hAnsiTheme="minorEastAsia" w:eastAsiaTheme="minorEastAsia" w:cstheme="minorEastAsia"/>
                <w:i w:val="0"/>
                <w:color w:val="000000"/>
                <w:sz w:val="18"/>
                <w:szCs w:val="18"/>
                <w:u w:val="none"/>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gridBefore w:val="1"/>
          <w:wBefore w:w="27" w:type="dxa"/>
          <w:trHeight w:val="1080" w:hRule="atLeast"/>
        </w:trPr>
        <w:tc>
          <w:tcPr>
            <w:tcW w:w="899" w:type="dxa"/>
            <w:vMerge w:val="continue"/>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66"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2.1                     经营能力</w:t>
            </w:r>
          </w:p>
        </w:tc>
        <w:tc>
          <w:tcPr>
            <w:tcW w:w="1020"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2.1.3                          全员劳动生产率</w:t>
            </w:r>
          </w:p>
        </w:tc>
        <w:tc>
          <w:tcPr>
            <w:tcW w:w="2835"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企业全员劳动生产率每5万元得0.5分</w:t>
            </w:r>
          </w:p>
        </w:tc>
        <w:tc>
          <w:tcPr>
            <w:tcW w:w="1080" w:type="dxa"/>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0.5*X/5</w:t>
            </w:r>
          </w:p>
        </w:tc>
        <w:tc>
          <w:tcPr>
            <w:tcW w:w="795"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4</w:t>
            </w:r>
          </w:p>
        </w:tc>
        <w:tc>
          <w:tcPr>
            <w:tcW w:w="480" w:type="dxa"/>
            <w:gridSpan w:val="2"/>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420" w:type="dxa"/>
            <w:gridSpan w:val="2"/>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450" w:type="dxa"/>
            <w:gridSpan w:val="2"/>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3150"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1、“X”指企业全员劳动生产率；</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2、全员劳动生产率=上年营业收入合计/企业员工总人数。</w:t>
            </w:r>
          </w:p>
        </w:tc>
        <w:tc>
          <w:tcPr>
            <w:tcW w:w="2191"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根据国家“工程造价咨询统计报表制度”由信用评价系统从“工程造价咨询统计报表系统”导入企业上年度相关数据自动计算。</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gridBefore w:val="1"/>
          <w:wBefore w:w="27" w:type="dxa"/>
          <w:trHeight w:val="1102" w:hRule="atLeast"/>
        </w:trPr>
        <w:tc>
          <w:tcPr>
            <w:tcW w:w="899" w:type="dxa"/>
            <w:vMerge w:val="continue"/>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66" w:type="dxa"/>
            <w:gridSpan w:val="2"/>
            <w:vMerge w:val="restart"/>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2.2                    管理能力</w:t>
            </w:r>
          </w:p>
        </w:tc>
        <w:tc>
          <w:tcPr>
            <w:tcW w:w="1020" w:type="dxa"/>
            <w:gridSpan w:val="2"/>
            <w:vMerge w:val="restart"/>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2.2.1                       质量管理体系</w:t>
            </w:r>
          </w:p>
        </w:tc>
        <w:tc>
          <w:tcPr>
            <w:tcW w:w="2835"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Style w:val="17"/>
                <w:rFonts w:hint="eastAsia" w:asciiTheme="minorEastAsia" w:hAnsiTheme="minorEastAsia" w:eastAsiaTheme="minorEastAsia" w:cstheme="minorEastAsia"/>
                <w:sz w:val="18"/>
                <w:szCs w:val="18"/>
                <w:lang w:val="en-US" w:eastAsia="zh-CN" w:bidi="ar"/>
              </w:rPr>
              <w:t>企业有职业标准指南或自行编制的咨询业务操作指导规程、范本(模板)或作业指导书，得0.5</w:t>
            </w:r>
            <w:r>
              <w:rPr>
                <w:rStyle w:val="18"/>
                <w:rFonts w:hint="eastAsia" w:asciiTheme="minorEastAsia" w:hAnsiTheme="minorEastAsia" w:eastAsiaTheme="minorEastAsia" w:cstheme="minorEastAsia"/>
                <w:sz w:val="18"/>
                <w:szCs w:val="18"/>
                <w:lang w:val="en-US" w:eastAsia="zh-CN" w:bidi="ar"/>
              </w:rPr>
              <w:t>~</w:t>
            </w:r>
            <w:r>
              <w:rPr>
                <w:rStyle w:val="17"/>
                <w:rFonts w:hint="eastAsia" w:asciiTheme="minorEastAsia" w:hAnsiTheme="minorEastAsia" w:eastAsiaTheme="minorEastAsia" w:cstheme="minorEastAsia"/>
                <w:sz w:val="18"/>
                <w:szCs w:val="18"/>
                <w:lang w:val="en-US" w:eastAsia="zh-CN" w:bidi="ar"/>
              </w:rPr>
              <w:t>3分</w:t>
            </w:r>
          </w:p>
        </w:tc>
        <w:tc>
          <w:tcPr>
            <w:tcW w:w="1080" w:type="dxa"/>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3</w:t>
            </w:r>
          </w:p>
        </w:tc>
        <w:tc>
          <w:tcPr>
            <w:tcW w:w="795"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3</w:t>
            </w:r>
          </w:p>
        </w:tc>
        <w:tc>
          <w:tcPr>
            <w:tcW w:w="480" w:type="dxa"/>
            <w:gridSpan w:val="2"/>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420"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w:t>
            </w:r>
          </w:p>
        </w:tc>
        <w:tc>
          <w:tcPr>
            <w:tcW w:w="450" w:type="dxa"/>
            <w:gridSpan w:val="2"/>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3150"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Style w:val="17"/>
                <w:rFonts w:hint="eastAsia" w:asciiTheme="minorEastAsia" w:hAnsiTheme="minorEastAsia" w:eastAsiaTheme="minorEastAsia" w:cstheme="minorEastAsia"/>
                <w:sz w:val="18"/>
                <w:szCs w:val="18"/>
                <w:lang w:val="en-US" w:eastAsia="zh-CN" w:bidi="ar"/>
              </w:rPr>
              <w:t>根据职业标准或指南内容完整、规范、指导作用的程度，加0.5</w:t>
            </w:r>
            <w:r>
              <w:rPr>
                <w:rStyle w:val="18"/>
                <w:rFonts w:hint="eastAsia" w:asciiTheme="minorEastAsia" w:hAnsiTheme="minorEastAsia" w:eastAsiaTheme="minorEastAsia" w:cstheme="minorEastAsia"/>
                <w:sz w:val="18"/>
                <w:szCs w:val="18"/>
                <w:lang w:val="en-US" w:eastAsia="zh-CN" w:bidi="ar"/>
              </w:rPr>
              <w:t>~</w:t>
            </w:r>
            <w:r>
              <w:rPr>
                <w:rStyle w:val="17"/>
                <w:rFonts w:hint="eastAsia" w:asciiTheme="minorEastAsia" w:hAnsiTheme="minorEastAsia" w:eastAsiaTheme="minorEastAsia" w:cstheme="minorEastAsia"/>
                <w:sz w:val="18"/>
                <w:szCs w:val="18"/>
                <w:lang w:val="en-US" w:eastAsia="zh-CN" w:bidi="ar"/>
              </w:rPr>
              <w:t>3分，没有的扣1分。</w:t>
            </w:r>
          </w:p>
        </w:tc>
        <w:tc>
          <w:tcPr>
            <w:tcW w:w="2191" w:type="dxa"/>
            <w:gridSpan w:val="2"/>
            <w:vMerge w:val="restart"/>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gridBefore w:val="1"/>
          <w:wBefore w:w="27" w:type="dxa"/>
          <w:trHeight w:val="1391" w:hRule="atLeast"/>
        </w:trPr>
        <w:tc>
          <w:tcPr>
            <w:tcW w:w="899" w:type="dxa"/>
            <w:vMerge w:val="continue"/>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66" w:type="dxa"/>
            <w:gridSpan w:val="2"/>
            <w:vMerge w:val="continue"/>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1020" w:type="dxa"/>
            <w:gridSpan w:val="2"/>
            <w:vMerge w:val="continue"/>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2835"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Style w:val="17"/>
                <w:rFonts w:hint="eastAsia" w:asciiTheme="minorEastAsia" w:hAnsiTheme="minorEastAsia" w:eastAsiaTheme="minorEastAsia" w:cstheme="minorEastAsia"/>
                <w:sz w:val="18"/>
                <w:szCs w:val="18"/>
                <w:lang w:val="en-US" w:eastAsia="zh-CN" w:bidi="ar"/>
              </w:rPr>
              <w:t>企业有完善的质量管理制度和可行的质量奖惩办法，得0.5</w:t>
            </w:r>
            <w:r>
              <w:rPr>
                <w:rStyle w:val="18"/>
                <w:rFonts w:hint="eastAsia" w:asciiTheme="minorEastAsia" w:hAnsiTheme="minorEastAsia" w:eastAsiaTheme="minorEastAsia" w:cstheme="minorEastAsia"/>
                <w:sz w:val="18"/>
                <w:szCs w:val="18"/>
                <w:lang w:val="en-US" w:eastAsia="zh-CN" w:bidi="ar"/>
              </w:rPr>
              <w:t>~</w:t>
            </w:r>
            <w:r>
              <w:rPr>
                <w:rStyle w:val="17"/>
                <w:rFonts w:hint="eastAsia" w:asciiTheme="minorEastAsia" w:hAnsiTheme="minorEastAsia" w:eastAsiaTheme="minorEastAsia" w:cstheme="minorEastAsia"/>
                <w:sz w:val="18"/>
                <w:szCs w:val="18"/>
                <w:lang w:val="en-US" w:eastAsia="zh-CN" w:bidi="ar"/>
              </w:rPr>
              <w:t>2分</w:t>
            </w:r>
            <w:r>
              <w:rPr>
                <w:rStyle w:val="17"/>
                <w:rFonts w:hint="eastAsia" w:asciiTheme="minorEastAsia" w:hAnsiTheme="minorEastAsia" w:eastAsiaTheme="minorEastAsia" w:cstheme="minorEastAsia"/>
                <w:sz w:val="18"/>
                <w:szCs w:val="18"/>
                <w:lang w:val="en-US" w:eastAsia="zh-CN" w:bidi="ar"/>
              </w:rPr>
              <w:br w:type="textWrapping"/>
            </w:r>
            <w:r>
              <w:rPr>
                <w:rStyle w:val="17"/>
                <w:rFonts w:hint="eastAsia" w:asciiTheme="minorEastAsia" w:hAnsiTheme="minorEastAsia" w:eastAsiaTheme="minorEastAsia" w:cstheme="minorEastAsia"/>
                <w:sz w:val="18"/>
                <w:szCs w:val="18"/>
                <w:lang w:val="en-US" w:eastAsia="zh-CN" w:bidi="ar"/>
              </w:rPr>
              <w:t>通过ISO质量管理体系认证，得1分</w:t>
            </w:r>
          </w:p>
        </w:tc>
        <w:tc>
          <w:tcPr>
            <w:tcW w:w="1080" w:type="dxa"/>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0</w:t>
            </w:r>
            <w:r>
              <w:rPr>
                <w:rFonts w:hint="eastAsia" w:ascii="微软雅黑" w:hAnsi="微软雅黑" w:eastAsia="微软雅黑" w:cs="微软雅黑"/>
                <w:i w:val="0"/>
                <w:color w:val="000000"/>
                <w:kern w:val="0"/>
                <w:sz w:val="18"/>
                <w:szCs w:val="18"/>
                <w:u w:val="none"/>
                <w:lang w:val="en-US" w:eastAsia="zh-CN" w:bidi="ar"/>
              </w:rPr>
              <w:t>∽</w:t>
            </w:r>
            <w:r>
              <w:rPr>
                <w:rFonts w:hint="eastAsia" w:asciiTheme="minorEastAsia" w:hAnsiTheme="minorEastAsia" w:eastAsiaTheme="minorEastAsia" w:cstheme="minorEastAsia"/>
                <w:i w:val="0"/>
                <w:color w:val="000000"/>
                <w:kern w:val="0"/>
                <w:sz w:val="18"/>
                <w:szCs w:val="18"/>
                <w:u w:val="none"/>
                <w:lang w:val="en-US" w:eastAsia="zh-CN" w:bidi="ar"/>
              </w:rPr>
              <w:t>3</w:t>
            </w:r>
          </w:p>
        </w:tc>
        <w:tc>
          <w:tcPr>
            <w:tcW w:w="795"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3</w:t>
            </w:r>
          </w:p>
        </w:tc>
        <w:tc>
          <w:tcPr>
            <w:tcW w:w="480" w:type="dxa"/>
            <w:gridSpan w:val="2"/>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420"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w:t>
            </w:r>
          </w:p>
        </w:tc>
        <w:tc>
          <w:tcPr>
            <w:tcW w:w="450" w:type="dxa"/>
            <w:gridSpan w:val="2"/>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3150"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Style w:val="17"/>
                <w:rFonts w:hint="eastAsia" w:asciiTheme="minorEastAsia" w:hAnsiTheme="minorEastAsia" w:eastAsiaTheme="minorEastAsia" w:cstheme="minorEastAsia"/>
                <w:sz w:val="18"/>
                <w:szCs w:val="18"/>
                <w:lang w:val="en-US" w:eastAsia="zh-CN" w:bidi="ar"/>
              </w:rPr>
              <w:t>1、根据质量管理制度和奖惩办法完整、规范、操作性程度，加0.5</w:t>
            </w:r>
            <w:r>
              <w:rPr>
                <w:rStyle w:val="18"/>
                <w:rFonts w:hint="eastAsia" w:asciiTheme="minorEastAsia" w:hAnsiTheme="minorEastAsia" w:eastAsiaTheme="minorEastAsia" w:cstheme="minorEastAsia"/>
                <w:sz w:val="18"/>
                <w:szCs w:val="18"/>
                <w:lang w:val="en-US" w:eastAsia="zh-CN" w:bidi="ar"/>
              </w:rPr>
              <w:t>~</w:t>
            </w:r>
            <w:r>
              <w:rPr>
                <w:rStyle w:val="17"/>
                <w:rFonts w:hint="eastAsia" w:asciiTheme="minorEastAsia" w:hAnsiTheme="minorEastAsia" w:eastAsiaTheme="minorEastAsia" w:cstheme="minorEastAsia"/>
                <w:sz w:val="18"/>
                <w:szCs w:val="18"/>
                <w:lang w:val="en-US" w:eastAsia="zh-CN" w:bidi="ar"/>
              </w:rPr>
              <w:t>2分，没有或不完善或操作性不强的扣0.5</w:t>
            </w:r>
            <w:r>
              <w:rPr>
                <w:rStyle w:val="18"/>
                <w:rFonts w:hint="eastAsia" w:asciiTheme="minorEastAsia" w:hAnsiTheme="minorEastAsia" w:eastAsiaTheme="minorEastAsia" w:cstheme="minorEastAsia"/>
                <w:sz w:val="18"/>
                <w:szCs w:val="18"/>
                <w:lang w:val="en-US" w:eastAsia="zh-CN" w:bidi="ar"/>
              </w:rPr>
              <w:t>~</w:t>
            </w:r>
            <w:r>
              <w:rPr>
                <w:rStyle w:val="17"/>
                <w:rFonts w:hint="eastAsia" w:asciiTheme="minorEastAsia" w:hAnsiTheme="minorEastAsia" w:eastAsiaTheme="minorEastAsia" w:cstheme="minorEastAsia"/>
                <w:sz w:val="18"/>
                <w:szCs w:val="18"/>
                <w:lang w:val="en-US" w:eastAsia="zh-CN" w:bidi="ar"/>
              </w:rPr>
              <w:t>1分；</w:t>
            </w:r>
            <w:r>
              <w:rPr>
                <w:rStyle w:val="17"/>
                <w:rFonts w:hint="eastAsia" w:asciiTheme="minorEastAsia" w:hAnsiTheme="minorEastAsia" w:eastAsiaTheme="minorEastAsia" w:cstheme="minorEastAsia"/>
                <w:sz w:val="18"/>
                <w:szCs w:val="18"/>
                <w:lang w:val="en-US" w:eastAsia="zh-CN" w:bidi="ar"/>
              </w:rPr>
              <w:br w:type="textWrapping"/>
            </w:r>
            <w:r>
              <w:rPr>
                <w:rStyle w:val="17"/>
                <w:rFonts w:hint="eastAsia" w:asciiTheme="minorEastAsia" w:hAnsiTheme="minorEastAsia" w:eastAsiaTheme="minorEastAsia" w:cstheme="minorEastAsia"/>
                <w:sz w:val="18"/>
                <w:szCs w:val="18"/>
                <w:lang w:val="en-US" w:eastAsia="zh-CN" w:bidi="ar"/>
              </w:rPr>
              <w:t>2、质量管理认证证书应在有效期内。</w:t>
            </w:r>
          </w:p>
        </w:tc>
        <w:tc>
          <w:tcPr>
            <w:tcW w:w="2191" w:type="dxa"/>
            <w:gridSpan w:val="2"/>
            <w:vMerge w:val="continue"/>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gridBefore w:val="1"/>
          <w:wBefore w:w="27" w:type="dxa"/>
          <w:trHeight w:val="678" w:hRule="atLeast"/>
        </w:trPr>
        <w:tc>
          <w:tcPr>
            <w:tcW w:w="899" w:type="dxa"/>
            <w:vMerge w:val="continue"/>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66" w:type="dxa"/>
            <w:gridSpan w:val="2"/>
            <w:vMerge w:val="continue"/>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1020" w:type="dxa"/>
            <w:gridSpan w:val="2"/>
            <w:vMerge w:val="restart"/>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2.2.2                         造价咨询业务成果文件档案管理</w:t>
            </w:r>
          </w:p>
        </w:tc>
        <w:tc>
          <w:tcPr>
            <w:tcW w:w="2835"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有专用档案室和专职档案管理员，每项得1分</w:t>
            </w:r>
          </w:p>
        </w:tc>
        <w:tc>
          <w:tcPr>
            <w:tcW w:w="1080" w:type="dxa"/>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95"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2</w:t>
            </w:r>
          </w:p>
        </w:tc>
        <w:tc>
          <w:tcPr>
            <w:tcW w:w="480" w:type="dxa"/>
            <w:gridSpan w:val="2"/>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420" w:type="dxa"/>
            <w:gridSpan w:val="2"/>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450" w:type="dxa"/>
            <w:gridSpan w:val="2"/>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3150"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专用档案室照片、专职档案员聘任合同或聘任协议。</w:t>
            </w:r>
          </w:p>
        </w:tc>
        <w:tc>
          <w:tcPr>
            <w:tcW w:w="2191" w:type="dxa"/>
            <w:gridSpan w:val="2"/>
            <w:vMerge w:val="restart"/>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gridBefore w:val="1"/>
          <w:wBefore w:w="27" w:type="dxa"/>
          <w:trHeight w:val="976" w:hRule="atLeast"/>
        </w:trPr>
        <w:tc>
          <w:tcPr>
            <w:tcW w:w="899" w:type="dxa"/>
            <w:vMerge w:val="continue"/>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66" w:type="dxa"/>
            <w:gridSpan w:val="2"/>
            <w:vMerge w:val="continue"/>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1020" w:type="dxa"/>
            <w:gridSpan w:val="2"/>
            <w:vMerge w:val="continue"/>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2835"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档案室中至少保存前五年完整的档案，得1分</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无档案台账扣1分，台账不完整，扣0.5分</w:t>
            </w:r>
          </w:p>
        </w:tc>
        <w:tc>
          <w:tcPr>
            <w:tcW w:w="1080" w:type="dxa"/>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95"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w:t>
            </w:r>
          </w:p>
        </w:tc>
        <w:tc>
          <w:tcPr>
            <w:tcW w:w="480" w:type="dxa"/>
            <w:gridSpan w:val="2"/>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420"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w:t>
            </w:r>
          </w:p>
        </w:tc>
        <w:tc>
          <w:tcPr>
            <w:tcW w:w="450" w:type="dxa"/>
            <w:gridSpan w:val="2"/>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3150" w:type="dxa"/>
            <w:gridSpan w:val="2"/>
            <w:tcBorders>
              <w:tl2br w:val="nil"/>
              <w:tr2bl w:val="nil"/>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咨询项目登记表、档案台账和档案三者比对。</w:t>
            </w:r>
          </w:p>
        </w:tc>
        <w:tc>
          <w:tcPr>
            <w:tcW w:w="2191" w:type="dxa"/>
            <w:gridSpan w:val="2"/>
            <w:vMerge w:val="continue"/>
            <w:tcBorders>
              <w:tl2br w:val="nil"/>
              <w:tr2bl w:val="nil"/>
            </w:tcBorders>
            <w:shd w:val="clear" w:color="auto" w:fill="FFFFFF"/>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r>
      <w:tr>
        <w:tblPrEx>
          <w:tblLayout w:type="fixed"/>
          <w:tblCellMar>
            <w:top w:w="0" w:type="dxa"/>
            <w:left w:w="0" w:type="dxa"/>
            <w:bottom w:w="0" w:type="dxa"/>
            <w:right w:w="0" w:type="dxa"/>
          </w:tblCellMar>
        </w:tblPrEx>
        <w:trPr>
          <w:trHeight w:val="630" w:hRule="atLeast"/>
        </w:trPr>
        <w:tc>
          <w:tcPr>
            <w:tcW w:w="92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76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65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评价标准</w:t>
            </w:r>
          </w:p>
        </w:tc>
        <w:tc>
          <w:tcPr>
            <w:tcW w:w="1262"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计算公式</w:t>
            </w:r>
          </w:p>
        </w:tc>
        <w:tc>
          <w:tcPr>
            <w:tcW w:w="45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得分限额</w:t>
            </w: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得分</w:t>
            </w: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扣分限额</w:t>
            </w: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扣分</w:t>
            </w:r>
          </w:p>
        </w:tc>
        <w:tc>
          <w:tcPr>
            <w:tcW w:w="3720"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说明</w:t>
            </w:r>
          </w:p>
        </w:tc>
        <w:tc>
          <w:tcPr>
            <w:tcW w:w="18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数据来源</w:t>
            </w:r>
          </w:p>
        </w:tc>
      </w:tr>
      <w:tr>
        <w:tblPrEx>
          <w:tblLayout w:type="fixed"/>
          <w:tblCellMar>
            <w:top w:w="0" w:type="dxa"/>
            <w:left w:w="0" w:type="dxa"/>
            <w:bottom w:w="0" w:type="dxa"/>
            <w:right w:w="0" w:type="dxa"/>
          </w:tblCellMar>
        </w:tblPrEx>
        <w:trPr>
          <w:trHeight w:val="1315" w:hRule="atLeast"/>
        </w:trPr>
        <w:tc>
          <w:tcPr>
            <w:tcW w:w="926"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2.经营    管理</w:t>
            </w:r>
          </w:p>
        </w:tc>
        <w:tc>
          <w:tcPr>
            <w:tcW w:w="766"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教育培训                       </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2.3.1                            业务培训等</w:t>
            </w:r>
          </w:p>
        </w:tc>
        <w:tc>
          <w:tcPr>
            <w:tcW w:w="265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企业员工参加业务培训的，每次得0.3分（不含注册造价工程师资格延续需要的继续教育）</w:t>
            </w:r>
          </w:p>
        </w:tc>
        <w:tc>
          <w:tcPr>
            <w:tcW w:w="1262"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0.3*X</w:t>
            </w:r>
          </w:p>
        </w:tc>
        <w:tc>
          <w:tcPr>
            <w:tcW w:w="45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3</w:t>
            </w: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720"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1、“X”为企业造价咨询从业人员上一年度参加工程造价相关业务培训的次数；</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2、可以是外部机构组织的，也可以是企业自行组织的培训。</w:t>
            </w:r>
          </w:p>
        </w:tc>
        <w:tc>
          <w:tcPr>
            <w:tcW w:w="18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left"/>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427" w:hRule="atLeast"/>
        </w:trPr>
        <w:tc>
          <w:tcPr>
            <w:tcW w:w="92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6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2.3.2</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廉洁教育 </w:t>
            </w:r>
          </w:p>
        </w:tc>
        <w:tc>
          <w:tcPr>
            <w:tcW w:w="265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对员工进行廉洁教育或组织参观廉政教育基地</w:t>
            </w:r>
          </w:p>
        </w:tc>
        <w:tc>
          <w:tcPr>
            <w:tcW w:w="1262"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2</w:t>
            </w: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720"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企业上一年度对员工进行廉洁教育或组织参观廉政教育基地</w:t>
            </w:r>
          </w:p>
        </w:tc>
        <w:tc>
          <w:tcPr>
            <w:tcW w:w="18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left"/>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427" w:hRule="atLeast"/>
        </w:trPr>
        <w:tc>
          <w:tcPr>
            <w:tcW w:w="92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6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信息化</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2.4.1                  对外平台</w:t>
            </w:r>
          </w:p>
        </w:tc>
        <w:tc>
          <w:tcPr>
            <w:tcW w:w="265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企业自建网站或公众号</w:t>
            </w:r>
          </w:p>
        </w:tc>
        <w:tc>
          <w:tcPr>
            <w:tcW w:w="1262"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2</w:t>
            </w: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720"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网站及公众号应正常更新。</w:t>
            </w:r>
          </w:p>
        </w:tc>
        <w:tc>
          <w:tcPr>
            <w:tcW w:w="18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left"/>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2367" w:hRule="atLeast"/>
        </w:trPr>
        <w:tc>
          <w:tcPr>
            <w:tcW w:w="92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66"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信息化</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2.4.2                 办公自动化及企业业务管理系统</w:t>
            </w:r>
          </w:p>
        </w:tc>
        <w:tc>
          <w:tcPr>
            <w:tcW w:w="265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企业投用办公自动化系统，运行正常，得1分</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具有咨询业务管理系统并使用正常，得1</w:t>
            </w:r>
            <w:r>
              <w:rPr>
                <w:rStyle w:val="19"/>
                <w:sz w:val="18"/>
                <w:szCs w:val="18"/>
                <w:lang w:val="en-US" w:eastAsia="zh-CN" w:bidi="ar"/>
              </w:rPr>
              <w:t>~</w:t>
            </w:r>
            <w:r>
              <w:rPr>
                <w:rFonts w:hint="eastAsia" w:ascii="宋体" w:hAnsi="宋体" w:eastAsia="宋体" w:cs="宋体"/>
                <w:i w:val="0"/>
                <w:color w:val="000000"/>
                <w:kern w:val="0"/>
                <w:sz w:val="18"/>
                <w:szCs w:val="18"/>
                <w:u w:val="none"/>
                <w:lang w:val="en-US" w:eastAsia="zh-CN" w:bidi="ar"/>
              </w:rPr>
              <w:t>3分</w:t>
            </w:r>
          </w:p>
        </w:tc>
        <w:tc>
          <w:tcPr>
            <w:tcW w:w="1262"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0~4</w:t>
            </w:r>
          </w:p>
        </w:tc>
        <w:tc>
          <w:tcPr>
            <w:tcW w:w="45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4</w:t>
            </w: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720"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spacing w:after="200" w:afterAutospacing="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1、业务系统能实现基本业务流程、成果文件系统的集成的，得1分；</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2、除实现1中基本功能外，还能够协助企业进行任务分配、绩效评价等等造价咨询业务管理的，得2分；</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3、能够满足客户管理、合同管理、业务流程管理、档案管理、绩效统计、成本管控等多种业务流的集成，得3分。</w:t>
            </w:r>
          </w:p>
        </w:tc>
        <w:tc>
          <w:tcPr>
            <w:tcW w:w="18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left"/>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951" w:hRule="atLeast"/>
        </w:trPr>
        <w:tc>
          <w:tcPr>
            <w:tcW w:w="92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6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2.4.3                 已完工程数据库</w:t>
            </w:r>
          </w:p>
        </w:tc>
        <w:tc>
          <w:tcPr>
            <w:tcW w:w="265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企业已完工程数据库(指标库、材料价格库等)建立完善并投入应用，每项得1.5分</w:t>
            </w:r>
          </w:p>
        </w:tc>
        <w:tc>
          <w:tcPr>
            <w:tcW w:w="1262"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1.5*X</w:t>
            </w:r>
          </w:p>
        </w:tc>
        <w:tc>
          <w:tcPr>
            <w:tcW w:w="45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3</w:t>
            </w: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720"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1、“X”指指标库或材料价格库等数据库；</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2、已完项目已录入数据库系统中或有已完项目的数据统计指标。</w:t>
            </w:r>
          </w:p>
        </w:tc>
        <w:tc>
          <w:tcPr>
            <w:tcW w:w="18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left"/>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62" w:hRule="atLeast"/>
        </w:trPr>
        <w:tc>
          <w:tcPr>
            <w:tcW w:w="92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66"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                     文化建设与社会责任</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2.5.1</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文化建设</w:t>
            </w:r>
          </w:p>
        </w:tc>
        <w:tc>
          <w:tcPr>
            <w:tcW w:w="265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企业积极举办或参与造价协会举办的精神文明、文化建设等活动，每次得0.2分</w:t>
            </w:r>
          </w:p>
        </w:tc>
        <w:tc>
          <w:tcPr>
            <w:tcW w:w="1262"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0.2*X</w:t>
            </w:r>
          </w:p>
        </w:tc>
        <w:tc>
          <w:tcPr>
            <w:tcW w:w="45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1</w:t>
            </w: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720"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“X”为举办或参加活动的次数。</w:t>
            </w:r>
          </w:p>
        </w:tc>
        <w:tc>
          <w:tcPr>
            <w:tcW w:w="18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left"/>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863" w:hRule="atLeast"/>
        </w:trPr>
        <w:tc>
          <w:tcPr>
            <w:tcW w:w="92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6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2.5.2</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企业纳税信用等级                       </w:t>
            </w:r>
          </w:p>
        </w:tc>
        <w:tc>
          <w:tcPr>
            <w:tcW w:w="265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企业纳税信用等级为A的得2分，为B的得1分</w:t>
            </w:r>
          </w:p>
        </w:tc>
        <w:tc>
          <w:tcPr>
            <w:tcW w:w="1262"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2</w:t>
            </w: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720"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正常纳税企业，税务机关每年4月会确定上一年度纳税评价结果。</w:t>
            </w:r>
          </w:p>
        </w:tc>
        <w:tc>
          <w:tcPr>
            <w:tcW w:w="18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top"/>
          </w:tcPr>
          <w:p>
            <w:pPr>
              <w:jc w:val="left"/>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840" w:hRule="atLeast"/>
        </w:trPr>
        <w:tc>
          <w:tcPr>
            <w:tcW w:w="92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76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65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评价标准</w:t>
            </w:r>
          </w:p>
        </w:tc>
        <w:tc>
          <w:tcPr>
            <w:tcW w:w="1262"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计算公式</w:t>
            </w:r>
          </w:p>
        </w:tc>
        <w:tc>
          <w:tcPr>
            <w:tcW w:w="45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得分限额</w:t>
            </w: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得分</w:t>
            </w: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扣分限额</w:t>
            </w: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扣分</w:t>
            </w:r>
          </w:p>
        </w:tc>
        <w:tc>
          <w:tcPr>
            <w:tcW w:w="28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说明</w:t>
            </w:r>
          </w:p>
        </w:tc>
        <w:tc>
          <w:tcPr>
            <w:tcW w:w="2655"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 xml:space="preserve"> 数据来源</w:t>
            </w:r>
          </w:p>
        </w:tc>
      </w:tr>
      <w:tr>
        <w:tblPrEx>
          <w:tblLayout w:type="fixed"/>
          <w:tblCellMar>
            <w:top w:w="0" w:type="dxa"/>
            <w:left w:w="0" w:type="dxa"/>
            <w:bottom w:w="0" w:type="dxa"/>
            <w:right w:w="0" w:type="dxa"/>
          </w:tblCellMar>
        </w:tblPrEx>
        <w:trPr>
          <w:trHeight w:val="936" w:hRule="atLeast"/>
        </w:trPr>
        <w:tc>
          <w:tcPr>
            <w:tcW w:w="926" w:type="dxa"/>
            <w:gridSpan w:val="2"/>
            <w:vMerge w:val="restart"/>
            <w:tcBorders>
              <w:top w:val="single" w:color="000000" w:sz="4" w:space="0"/>
              <w:left w:val="single" w:color="000000" w:sz="4" w:space="0"/>
              <w:bottom w:val="nil"/>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3.各地自主评分或自定义评分项</w:t>
            </w:r>
          </w:p>
          <w:p>
            <w:pPr>
              <w:jc w:val="center"/>
              <w:rPr>
                <w:rFonts w:hint="eastAsia" w:ascii="宋体" w:hAnsi="宋体" w:eastAsia="宋体" w:cs="宋体"/>
                <w:i w:val="0"/>
                <w:color w:val="000000"/>
                <w:sz w:val="18"/>
                <w:szCs w:val="18"/>
                <w:u w:val="none"/>
              </w:rPr>
            </w:pPr>
          </w:p>
          <w:p>
            <w:pPr>
              <w:jc w:val="center"/>
              <w:rPr>
                <w:rFonts w:hint="eastAsia" w:ascii="宋体" w:hAnsi="宋体" w:eastAsia="宋体" w:cs="宋体"/>
                <w:i w:val="0"/>
                <w:color w:val="000000"/>
                <w:sz w:val="18"/>
                <w:szCs w:val="18"/>
                <w:u w:val="none"/>
              </w:rPr>
            </w:pPr>
          </w:p>
        </w:tc>
        <w:tc>
          <w:tcPr>
            <w:tcW w:w="76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社会评价</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3.1.1</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客户对企业的评价</w:t>
            </w:r>
          </w:p>
        </w:tc>
        <w:tc>
          <w:tcPr>
            <w:tcW w:w="26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各地根据本地管理要求，自行制定评价办法或参考相关附表（可在系统内下载）</w:t>
            </w:r>
            <w:r>
              <w:rPr>
                <w:rFonts w:hint="eastAsia" w:cs="宋体"/>
                <w:i w:val="0"/>
                <w:color w:val="000000"/>
                <w:kern w:val="0"/>
                <w:sz w:val="18"/>
                <w:szCs w:val="18"/>
                <w:u w:val="none"/>
                <w:lang w:val="en-US" w:eastAsia="zh-CN" w:bidi="ar"/>
              </w:rPr>
              <w:t>（见附表1.3.1）</w:t>
            </w:r>
          </w:p>
        </w:tc>
        <w:tc>
          <w:tcPr>
            <w:tcW w:w="12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FF0000"/>
                <w:sz w:val="18"/>
                <w:szCs w:val="18"/>
                <w:u w:val="none"/>
              </w:rPr>
            </w:pPr>
          </w:p>
        </w:tc>
        <w:tc>
          <w:tcPr>
            <w:tcW w:w="451" w:type="dxa"/>
            <w:vMerge w:val="restart"/>
            <w:tcBorders>
              <w:top w:val="single" w:color="000000" w:sz="4" w:space="0"/>
              <w:left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kern w:val="0"/>
                <w:sz w:val="18"/>
                <w:szCs w:val="18"/>
                <w:u w:val="none"/>
                <w:lang w:val="en-US" w:eastAsia="zh-CN" w:bidi="ar"/>
              </w:rPr>
            </w:pPr>
            <w:r>
              <w:rPr>
                <w:rFonts w:hint="default" w:ascii="Arial Narrow" w:hAnsi="Arial Narrow" w:eastAsia="Arial Narrow" w:cs="Arial Narrow"/>
                <w:i w:val="0"/>
                <w:color w:val="000000"/>
                <w:kern w:val="0"/>
                <w:sz w:val="18"/>
                <w:szCs w:val="18"/>
                <w:u w:val="none"/>
                <w:lang w:val="en-US" w:eastAsia="zh-CN" w:bidi="ar"/>
              </w:rPr>
              <w:t>20</w:t>
            </w:r>
          </w:p>
          <w:p>
            <w:pPr>
              <w:ind w:left="0" w:leftChars="0" w:right="0" w:rightChars="0"/>
              <w:jc w:val="center"/>
              <w:rPr>
                <w:rFonts w:hint="default" w:ascii="Arial Narrow" w:hAnsi="Arial Narrow" w:eastAsia="Arial Narrow" w:cs="Arial Narrow"/>
                <w:b w:val="0"/>
                <w:bCs w:val="0"/>
                <w:i w:val="0"/>
                <w:color w:val="FF0000"/>
                <w:sz w:val="18"/>
                <w:szCs w:val="18"/>
                <w:u w:val="none"/>
              </w:rPr>
            </w:pP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jc w:val="center"/>
              <w:rPr>
                <w:rFonts w:hint="eastAsia" w:ascii="宋体" w:hAnsi="宋体" w:eastAsia="宋体" w:cs="宋体"/>
                <w:i w:val="0"/>
                <w:color w:val="auto"/>
                <w:sz w:val="18"/>
                <w:szCs w:val="18"/>
                <w:u w:val="none"/>
                <w:shd w:val="clear" w:color="auto" w:fill="auto"/>
                <w:lang w:eastAsia="zh-CN"/>
              </w:rPr>
            </w:pPr>
            <w:r>
              <w:rPr>
                <w:rFonts w:hint="eastAsia" w:cs="宋体"/>
                <w:i w:val="0"/>
                <w:color w:val="auto"/>
                <w:sz w:val="18"/>
                <w:szCs w:val="18"/>
                <w:u w:val="none"/>
                <w:shd w:val="clear" w:color="auto" w:fill="auto"/>
                <w:lang w:val="en-US" w:eastAsia="zh-CN"/>
              </w:rPr>
              <w:t>2</w:t>
            </w: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FF0000"/>
                <w:sz w:val="18"/>
                <w:szCs w:val="18"/>
                <w:u w:val="none"/>
              </w:rPr>
            </w:pPr>
          </w:p>
        </w:tc>
        <w:tc>
          <w:tcPr>
            <w:tcW w:w="28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由各地(省、市、自治区)根据信用评价管理办法的规定，自行制定评价标准，可参考相关附件的评价办法。</w:t>
            </w:r>
          </w:p>
        </w:tc>
        <w:tc>
          <w:tcPr>
            <w:tcW w:w="2655"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抽取三个1000万元以上项目（尽量满足两个国有资金投资项目，两个结算审核项目）进行客户评价调查。</w:t>
            </w:r>
          </w:p>
        </w:tc>
      </w:tr>
      <w:tr>
        <w:tblPrEx>
          <w:tblLayout w:type="fixed"/>
          <w:tblCellMar>
            <w:top w:w="0" w:type="dxa"/>
            <w:left w:w="0" w:type="dxa"/>
            <w:bottom w:w="0" w:type="dxa"/>
            <w:right w:w="0" w:type="dxa"/>
          </w:tblCellMar>
        </w:tblPrEx>
        <w:trPr>
          <w:trHeight w:val="951" w:hRule="atLeast"/>
        </w:trPr>
        <w:tc>
          <w:tcPr>
            <w:tcW w:w="926" w:type="dxa"/>
            <w:gridSpan w:val="2"/>
            <w:vMerge w:val="continue"/>
            <w:tcBorders>
              <w:top w:val="nil"/>
              <w:left w:val="single" w:color="000000" w:sz="4" w:space="0"/>
              <w:bottom w:val="nil"/>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6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成果质量</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3.2.1</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造价咨询业务流程管理</w:t>
            </w:r>
          </w:p>
        </w:tc>
        <w:tc>
          <w:tcPr>
            <w:tcW w:w="26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各地自行制定评价办法或参考相关附表（可在系统内下载）</w:t>
            </w:r>
          </w:p>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cs="宋体"/>
                <w:i w:val="0"/>
                <w:color w:val="000000"/>
                <w:kern w:val="0"/>
                <w:sz w:val="18"/>
                <w:szCs w:val="18"/>
                <w:u w:val="none"/>
                <w:lang w:val="en-US" w:eastAsia="zh-CN" w:bidi="ar"/>
              </w:rPr>
              <w:t>（见附表1.3.2）</w:t>
            </w:r>
          </w:p>
        </w:tc>
        <w:tc>
          <w:tcPr>
            <w:tcW w:w="12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FF0000"/>
                <w:sz w:val="18"/>
                <w:szCs w:val="18"/>
                <w:u w:val="none"/>
              </w:rPr>
            </w:pPr>
          </w:p>
        </w:tc>
        <w:tc>
          <w:tcPr>
            <w:tcW w:w="451" w:type="dxa"/>
            <w:vMerge w:val="continue"/>
            <w:tcBorders>
              <w:left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tabs>
                <w:tab w:val="left" w:pos="382"/>
              </w:tabs>
              <w:jc w:val="center"/>
              <w:rPr>
                <w:rFonts w:hint="eastAsia" w:ascii="宋体" w:hAnsi="宋体" w:eastAsia="宋体" w:cs="宋体"/>
                <w:i w:val="0"/>
                <w:color w:val="auto"/>
                <w:sz w:val="18"/>
                <w:szCs w:val="18"/>
                <w:u w:val="none"/>
                <w:shd w:val="clear" w:color="auto" w:fill="auto"/>
                <w:lang w:eastAsia="zh-CN"/>
              </w:rPr>
            </w:pPr>
            <w:r>
              <w:rPr>
                <w:rFonts w:hint="eastAsia" w:cs="宋体"/>
                <w:i w:val="0"/>
                <w:color w:val="auto"/>
                <w:sz w:val="18"/>
                <w:szCs w:val="18"/>
                <w:u w:val="none"/>
                <w:shd w:val="clear" w:color="auto" w:fill="auto"/>
                <w:lang w:val="en-US" w:eastAsia="zh-CN"/>
              </w:rPr>
              <w:t>2</w:t>
            </w: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8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由各地(省、市、自治区)根据信用评价管理办法的规定，自行制定评价标准，可参考相关附件的评价办法，相关附件可在系统内下载。</w:t>
            </w:r>
          </w:p>
        </w:tc>
        <w:tc>
          <w:tcPr>
            <w:tcW w:w="2655"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同上。</w:t>
            </w:r>
          </w:p>
        </w:tc>
      </w:tr>
      <w:tr>
        <w:tblPrEx>
          <w:tblLayout w:type="fixed"/>
          <w:tblCellMar>
            <w:top w:w="0" w:type="dxa"/>
            <w:left w:w="0" w:type="dxa"/>
            <w:bottom w:w="0" w:type="dxa"/>
            <w:right w:w="0" w:type="dxa"/>
          </w:tblCellMar>
        </w:tblPrEx>
        <w:trPr>
          <w:trHeight w:val="516" w:hRule="atLeast"/>
        </w:trPr>
        <w:tc>
          <w:tcPr>
            <w:tcW w:w="926" w:type="dxa"/>
            <w:gridSpan w:val="2"/>
            <w:vMerge w:val="continue"/>
            <w:tcBorders>
              <w:top w:val="nil"/>
              <w:left w:val="single" w:color="000000" w:sz="4" w:space="0"/>
              <w:bottom w:val="nil"/>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3.2.2</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造价咨询业务成果质量情况</w:t>
            </w:r>
          </w:p>
        </w:tc>
        <w:tc>
          <w:tcPr>
            <w:tcW w:w="26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各地自行制定评价办法或参考相关附表（可在系统内下载）</w:t>
            </w:r>
          </w:p>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cs="宋体"/>
                <w:i w:val="0"/>
                <w:color w:val="000000"/>
                <w:kern w:val="0"/>
                <w:sz w:val="18"/>
                <w:szCs w:val="18"/>
                <w:u w:val="none"/>
                <w:lang w:val="en-US" w:eastAsia="zh-CN" w:bidi="ar"/>
              </w:rPr>
              <w:t>（见附表1.3.3）</w:t>
            </w:r>
          </w:p>
        </w:tc>
        <w:tc>
          <w:tcPr>
            <w:tcW w:w="12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451" w:type="dxa"/>
            <w:vMerge w:val="continue"/>
            <w:tcBorders>
              <w:left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jc w:val="center"/>
              <w:rPr>
                <w:rFonts w:hint="eastAsia" w:ascii="宋体" w:hAnsi="宋体" w:eastAsia="宋体" w:cs="宋体"/>
                <w:i w:val="0"/>
                <w:color w:val="auto"/>
                <w:sz w:val="18"/>
                <w:szCs w:val="18"/>
                <w:u w:val="none"/>
                <w:shd w:val="clear" w:color="auto" w:fill="auto"/>
                <w:lang w:eastAsia="zh-CN"/>
              </w:rPr>
            </w:pPr>
            <w:r>
              <w:rPr>
                <w:rFonts w:hint="eastAsia" w:cs="宋体"/>
                <w:i w:val="0"/>
                <w:color w:val="auto"/>
                <w:sz w:val="18"/>
                <w:szCs w:val="18"/>
                <w:u w:val="none"/>
                <w:shd w:val="clear" w:color="auto" w:fill="auto"/>
                <w:lang w:val="en-US" w:eastAsia="zh-CN"/>
              </w:rPr>
              <w:t>3</w:t>
            </w: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8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由各地(省、市、自治区)根据信用评价管理办法的规定，自行制定评价标准，可参考相关附件的评价办法，相关附件可在系统内下载。</w:t>
            </w:r>
          </w:p>
        </w:tc>
        <w:tc>
          <w:tcPr>
            <w:tcW w:w="2655"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同上。</w:t>
            </w:r>
          </w:p>
        </w:tc>
      </w:tr>
      <w:tr>
        <w:tblPrEx>
          <w:tblLayout w:type="fixed"/>
          <w:tblCellMar>
            <w:top w:w="0" w:type="dxa"/>
            <w:left w:w="0" w:type="dxa"/>
            <w:bottom w:w="0" w:type="dxa"/>
            <w:right w:w="0" w:type="dxa"/>
          </w:tblCellMar>
        </w:tblPrEx>
        <w:trPr>
          <w:trHeight w:val="512" w:hRule="atLeast"/>
        </w:trPr>
        <w:tc>
          <w:tcPr>
            <w:tcW w:w="926" w:type="dxa"/>
            <w:gridSpan w:val="2"/>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66" w:type="dxa"/>
            <w:gridSpan w:val="2"/>
            <w:vMerge w:val="restart"/>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3.3</w:t>
            </w:r>
            <w:r>
              <w:rPr>
                <w:rFonts w:hint="eastAsia" w:ascii="宋体" w:hAnsi="宋体" w:eastAsia="宋体" w:cs="宋体"/>
                <w:i w:val="0"/>
                <w:color w:val="auto"/>
                <w:kern w:val="0"/>
                <w:sz w:val="18"/>
                <w:szCs w:val="18"/>
                <w:u w:val="none"/>
                <w:lang w:val="en-US" w:eastAsia="zh-CN" w:bidi="ar"/>
              </w:rPr>
              <w:br w:type="textWrapping"/>
            </w:r>
            <w:r>
              <w:rPr>
                <w:rFonts w:hint="eastAsia" w:ascii="宋体" w:hAnsi="宋体" w:eastAsia="宋体" w:cs="宋体"/>
                <w:i w:val="0"/>
                <w:color w:val="auto"/>
                <w:kern w:val="0"/>
                <w:sz w:val="18"/>
                <w:szCs w:val="18"/>
                <w:u w:val="none"/>
                <w:lang w:val="en-US" w:eastAsia="zh-CN" w:bidi="ar"/>
              </w:rPr>
              <w:t>其它</w:t>
            </w:r>
          </w:p>
        </w:tc>
        <w:tc>
          <w:tcPr>
            <w:tcW w:w="1020" w:type="dxa"/>
            <w:gridSpan w:val="2"/>
            <w:vMerge w:val="restart"/>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3.3.1</w:t>
            </w:r>
            <w:r>
              <w:rPr>
                <w:rFonts w:hint="eastAsia" w:ascii="宋体" w:hAnsi="宋体" w:eastAsia="宋体" w:cs="宋体"/>
                <w:i w:val="0"/>
                <w:color w:val="auto"/>
                <w:kern w:val="0"/>
                <w:sz w:val="18"/>
                <w:szCs w:val="18"/>
                <w:u w:val="none"/>
                <w:lang w:val="en-US" w:eastAsia="zh-CN" w:bidi="ar"/>
              </w:rPr>
              <w:br w:type="textWrapping"/>
            </w:r>
            <w:r>
              <w:rPr>
                <w:rFonts w:hint="eastAsia" w:ascii="宋体" w:hAnsi="宋体" w:eastAsia="宋体" w:cs="宋体"/>
                <w:i w:val="0"/>
                <w:color w:val="auto"/>
                <w:kern w:val="0"/>
                <w:sz w:val="18"/>
                <w:szCs w:val="18"/>
                <w:u w:val="none"/>
                <w:lang w:val="en-US" w:eastAsia="zh-CN" w:bidi="ar"/>
              </w:rPr>
              <w:t>省自定义</w:t>
            </w:r>
          </w:p>
        </w:tc>
        <w:tc>
          <w:tcPr>
            <w:tcW w:w="2653" w:type="dxa"/>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keepNext w:val="0"/>
              <w:keepLines w:val="0"/>
              <w:widowControl/>
              <w:suppressLineNumbers w:val="0"/>
              <w:ind w:left="0" w:leftChars="0" w:right="0" w:rightChars="0"/>
              <w:jc w:val="left"/>
              <w:textAlignment w:val="center"/>
              <w:rPr>
                <w:rFonts w:hint="eastAsia" w:ascii="宋体" w:hAnsi="宋体" w:eastAsia="宋体" w:cs="宋体"/>
                <w:b w:val="0"/>
                <w:bCs w:val="0"/>
                <w:i w:val="0"/>
                <w:color w:val="auto"/>
                <w:kern w:val="0"/>
                <w:sz w:val="18"/>
                <w:szCs w:val="18"/>
                <w:u w:val="none"/>
                <w:lang w:val="en-US" w:eastAsia="zh-CN" w:bidi="ar"/>
              </w:rPr>
            </w:pPr>
            <w:r>
              <w:rPr>
                <w:rFonts w:hint="eastAsia" w:ascii="宋体" w:hAnsi="宋体" w:eastAsia="宋体" w:cs="宋体"/>
                <w:b w:val="0"/>
                <w:bCs w:val="0"/>
                <w:i w:val="0"/>
                <w:color w:val="auto"/>
                <w:kern w:val="0"/>
                <w:sz w:val="18"/>
                <w:szCs w:val="18"/>
                <w:u w:val="none"/>
                <w:lang w:val="en-US" w:eastAsia="zh-CN" w:bidi="ar"/>
              </w:rPr>
              <w:t>企业及时缴纳</w:t>
            </w:r>
            <w:r>
              <w:rPr>
                <w:rFonts w:hint="eastAsia" w:cs="宋体"/>
                <w:b w:val="0"/>
                <w:bCs w:val="0"/>
                <w:i w:val="0"/>
                <w:color w:val="auto"/>
                <w:kern w:val="0"/>
                <w:sz w:val="18"/>
                <w:szCs w:val="18"/>
                <w:u w:val="none"/>
                <w:lang w:val="en-US" w:eastAsia="zh-CN" w:bidi="ar"/>
              </w:rPr>
              <w:t>各市</w:t>
            </w:r>
            <w:r>
              <w:rPr>
                <w:rFonts w:hint="eastAsia" w:ascii="宋体" w:hAnsi="宋体" w:eastAsia="宋体" w:cs="宋体"/>
                <w:b w:val="0"/>
                <w:bCs w:val="0"/>
                <w:i w:val="0"/>
                <w:color w:val="auto"/>
                <w:kern w:val="0"/>
                <w:sz w:val="18"/>
                <w:szCs w:val="18"/>
                <w:u w:val="none"/>
                <w:lang w:val="en-US" w:eastAsia="zh-CN" w:bidi="ar"/>
              </w:rPr>
              <w:t>协会会费</w:t>
            </w:r>
          </w:p>
        </w:tc>
        <w:tc>
          <w:tcPr>
            <w:tcW w:w="1262"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ind w:left="0" w:leftChars="0" w:right="0" w:rightChars="0"/>
              <w:rPr>
                <w:rFonts w:hint="eastAsia" w:ascii="宋体" w:hAnsi="宋体" w:eastAsia="宋体" w:cs="宋体"/>
                <w:b w:val="0"/>
                <w:bCs w:val="0"/>
                <w:i w:val="0"/>
                <w:color w:val="auto"/>
                <w:sz w:val="18"/>
                <w:szCs w:val="18"/>
                <w:u w:val="none"/>
              </w:rPr>
            </w:pPr>
          </w:p>
        </w:tc>
        <w:tc>
          <w:tcPr>
            <w:tcW w:w="451" w:type="dxa"/>
            <w:vMerge w:val="continue"/>
            <w:tcBorders>
              <w:left w:val="single" w:color="000000" w:sz="4" w:space="0"/>
              <w:right w:val="single" w:color="000000" w:sz="4" w:space="0"/>
            </w:tcBorders>
            <w:shd w:val="clear" w:color="auto" w:fill="F1F1F1" w:themeFill="background1" w:themeFillShade="F2"/>
            <w:tcMar>
              <w:top w:w="15" w:type="dxa"/>
              <w:left w:w="15" w:type="dxa"/>
              <w:right w:w="15" w:type="dxa"/>
            </w:tcMar>
            <w:vAlign w:val="center"/>
          </w:tcPr>
          <w:p>
            <w:pPr>
              <w:ind w:left="0" w:leftChars="0" w:right="0" w:rightChars="0"/>
              <w:jc w:val="center"/>
              <w:rPr>
                <w:rFonts w:hint="default" w:ascii="Arial Narrow" w:hAnsi="Arial Narrow" w:eastAsia="Arial Narrow" w:cs="Arial Narrow"/>
                <w:b w:val="0"/>
                <w:bCs w:val="0"/>
                <w:i w:val="0"/>
                <w:color w:val="auto"/>
                <w:sz w:val="18"/>
                <w:szCs w:val="18"/>
                <w:u w:val="none"/>
              </w:rPr>
            </w:pP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ind w:left="0" w:leftChars="0" w:right="0" w:rightChars="0"/>
              <w:jc w:val="center"/>
              <w:rPr>
                <w:rFonts w:hint="eastAsia" w:ascii="宋体" w:hAnsi="宋体" w:eastAsia="宋体" w:cs="宋体"/>
                <w:b w:val="0"/>
                <w:bCs w:val="0"/>
                <w:i w:val="0"/>
                <w:color w:val="auto"/>
                <w:sz w:val="18"/>
                <w:szCs w:val="18"/>
                <w:u w:val="none"/>
                <w:lang w:val="en-US" w:eastAsia="zh-CN"/>
              </w:rPr>
            </w:pPr>
            <w:r>
              <w:rPr>
                <w:rFonts w:hint="eastAsia" w:cs="宋体"/>
                <w:b w:val="0"/>
                <w:bCs w:val="0"/>
                <w:i w:val="0"/>
                <w:color w:val="auto"/>
                <w:sz w:val="18"/>
                <w:szCs w:val="18"/>
                <w:u w:val="none"/>
                <w:lang w:val="en-US" w:eastAsia="zh-CN"/>
              </w:rPr>
              <w:t>1</w:t>
            </w: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ind w:left="0" w:leftChars="0" w:right="0" w:rightChars="0"/>
              <w:jc w:val="center"/>
              <w:rPr>
                <w:rFonts w:hint="default" w:ascii="Arial Narrow" w:hAnsi="Arial Narrow" w:eastAsia="Arial Narrow" w:cs="Arial Narrow"/>
                <w:b w:val="0"/>
                <w:bCs w:val="0"/>
                <w:i w:val="0"/>
                <w:color w:val="auto"/>
                <w:sz w:val="18"/>
                <w:szCs w:val="18"/>
                <w:u w:val="none"/>
              </w:rPr>
            </w:pP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ind w:left="0" w:leftChars="0" w:right="0" w:rightChars="0"/>
              <w:rPr>
                <w:rFonts w:hint="eastAsia" w:ascii="宋体" w:hAnsi="宋体" w:eastAsia="宋体" w:cs="宋体"/>
                <w:b w:val="0"/>
                <w:bCs w:val="0"/>
                <w:i w:val="0"/>
                <w:color w:val="auto"/>
                <w:sz w:val="18"/>
                <w:szCs w:val="18"/>
                <w:u w:val="none"/>
              </w:rPr>
            </w:pPr>
          </w:p>
        </w:tc>
        <w:tc>
          <w:tcPr>
            <w:tcW w:w="2880"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keepNext w:val="0"/>
              <w:keepLines w:val="0"/>
              <w:widowControl/>
              <w:suppressLineNumbers w:val="0"/>
              <w:ind w:left="0" w:leftChars="0" w:right="0" w:rightChars="0"/>
              <w:jc w:val="left"/>
              <w:textAlignment w:val="center"/>
              <w:rPr>
                <w:rFonts w:hint="eastAsia" w:ascii="宋体" w:hAnsi="宋体" w:eastAsia="宋体" w:cs="宋体"/>
                <w:b w:val="0"/>
                <w:bCs w:val="0"/>
                <w:i w:val="0"/>
                <w:color w:val="auto"/>
                <w:kern w:val="0"/>
                <w:sz w:val="18"/>
                <w:szCs w:val="18"/>
                <w:u w:val="none"/>
                <w:lang w:val="en-US" w:eastAsia="zh-CN" w:bidi="ar"/>
              </w:rPr>
            </w:pPr>
          </w:p>
        </w:tc>
        <w:tc>
          <w:tcPr>
            <w:tcW w:w="2655" w:type="dxa"/>
            <w:gridSpan w:val="3"/>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ind w:left="0" w:leftChars="0" w:right="0" w:rightChars="0"/>
              <w:rPr>
                <w:rFonts w:hint="eastAsia" w:ascii="宋体" w:hAnsi="宋体" w:eastAsia="宋体" w:cs="宋体"/>
                <w:b w:val="0"/>
                <w:bCs w:val="0"/>
                <w:i w:val="0"/>
                <w:color w:val="auto"/>
                <w:sz w:val="18"/>
                <w:szCs w:val="18"/>
                <w:u w:val="none"/>
              </w:rPr>
            </w:pPr>
          </w:p>
        </w:tc>
      </w:tr>
      <w:tr>
        <w:tblPrEx>
          <w:tblLayout w:type="fixed"/>
          <w:tblCellMar>
            <w:top w:w="0" w:type="dxa"/>
            <w:left w:w="0" w:type="dxa"/>
            <w:bottom w:w="0" w:type="dxa"/>
            <w:right w:w="0" w:type="dxa"/>
          </w:tblCellMar>
        </w:tblPrEx>
        <w:trPr>
          <w:trHeight w:val="512" w:hRule="atLeast"/>
        </w:trPr>
        <w:tc>
          <w:tcPr>
            <w:tcW w:w="92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66" w:type="dxa"/>
            <w:gridSpan w:val="2"/>
            <w:vMerge w:val="continue"/>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FF0000"/>
                <w:kern w:val="0"/>
                <w:sz w:val="18"/>
                <w:szCs w:val="18"/>
                <w:u w:val="none"/>
                <w:lang w:val="en-US" w:eastAsia="zh-CN" w:bidi="ar"/>
              </w:rPr>
            </w:pPr>
          </w:p>
        </w:tc>
        <w:tc>
          <w:tcPr>
            <w:tcW w:w="1020" w:type="dxa"/>
            <w:gridSpan w:val="2"/>
            <w:vMerge w:val="continue"/>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kern w:val="0"/>
                <w:sz w:val="18"/>
                <w:szCs w:val="18"/>
                <w:u w:val="none"/>
                <w:lang w:val="en-US" w:eastAsia="zh-CN" w:bidi="ar"/>
              </w:rPr>
            </w:pPr>
          </w:p>
        </w:tc>
        <w:tc>
          <w:tcPr>
            <w:tcW w:w="2653" w:type="dxa"/>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keepNext w:val="0"/>
              <w:keepLines w:val="0"/>
              <w:widowControl/>
              <w:suppressLineNumbers w:val="0"/>
              <w:ind w:left="0" w:leftChars="0" w:right="0" w:rightChars="0"/>
              <w:jc w:val="left"/>
              <w:textAlignment w:val="center"/>
              <w:rPr>
                <w:rFonts w:hint="eastAsia" w:ascii="宋体" w:hAnsi="宋体" w:eastAsia="宋体" w:cs="宋体"/>
                <w:b w:val="0"/>
                <w:bCs w:val="0"/>
                <w:i w:val="0"/>
                <w:color w:val="auto"/>
                <w:kern w:val="0"/>
                <w:sz w:val="18"/>
                <w:szCs w:val="18"/>
                <w:u w:val="none"/>
                <w:lang w:val="en-US" w:eastAsia="zh-CN" w:bidi="ar"/>
              </w:rPr>
            </w:pPr>
            <w:r>
              <w:rPr>
                <w:rFonts w:hint="eastAsia" w:ascii="宋体" w:hAnsi="宋体" w:eastAsia="宋体" w:cs="宋体"/>
                <w:b w:val="0"/>
                <w:bCs w:val="0"/>
                <w:i w:val="0"/>
                <w:color w:val="auto"/>
                <w:kern w:val="0"/>
                <w:sz w:val="18"/>
                <w:szCs w:val="18"/>
                <w:u w:val="none"/>
                <w:lang w:val="en-US" w:eastAsia="zh-CN" w:bidi="ar"/>
              </w:rPr>
              <w:t>省协会自律公约签约及执行情况</w:t>
            </w:r>
          </w:p>
        </w:tc>
        <w:tc>
          <w:tcPr>
            <w:tcW w:w="1262"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ind w:left="0" w:leftChars="0" w:right="0" w:rightChars="0"/>
              <w:rPr>
                <w:rFonts w:hint="eastAsia" w:ascii="宋体" w:hAnsi="宋体" w:eastAsia="宋体" w:cs="宋体"/>
                <w:b w:val="0"/>
                <w:bCs w:val="0"/>
                <w:i w:val="0"/>
                <w:color w:val="auto"/>
                <w:sz w:val="18"/>
                <w:szCs w:val="18"/>
                <w:u w:val="none"/>
              </w:rPr>
            </w:pPr>
          </w:p>
        </w:tc>
        <w:tc>
          <w:tcPr>
            <w:tcW w:w="451" w:type="dxa"/>
            <w:vMerge w:val="continue"/>
            <w:tcBorders>
              <w:left w:val="single" w:color="000000" w:sz="4" w:space="0"/>
              <w:right w:val="single" w:color="000000" w:sz="4" w:space="0"/>
            </w:tcBorders>
            <w:shd w:val="clear" w:color="auto" w:fill="F1F1F1" w:themeFill="background1" w:themeFillShade="F2"/>
            <w:tcMar>
              <w:top w:w="15" w:type="dxa"/>
              <w:left w:w="15" w:type="dxa"/>
              <w:right w:w="15" w:type="dxa"/>
            </w:tcMar>
            <w:vAlign w:val="center"/>
          </w:tcPr>
          <w:p>
            <w:pPr>
              <w:ind w:left="0" w:leftChars="0" w:right="0" w:rightChars="0"/>
              <w:jc w:val="center"/>
              <w:rPr>
                <w:rFonts w:hint="default" w:ascii="Arial Narrow" w:hAnsi="Arial Narrow" w:eastAsia="Arial Narrow" w:cs="Arial Narrow"/>
                <w:b w:val="0"/>
                <w:bCs w:val="0"/>
                <w:i w:val="0"/>
                <w:color w:val="auto"/>
                <w:sz w:val="18"/>
                <w:szCs w:val="18"/>
                <w:u w:val="none"/>
              </w:rPr>
            </w:pP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ind w:left="0" w:leftChars="0" w:right="0" w:rightChars="0"/>
              <w:jc w:val="center"/>
              <w:rPr>
                <w:rFonts w:hint="eastAsia" w:ascii="宋体" w:hAnsi="宋体" w:eastAsia="宋体" w:cs="宋体"/>
                <w:b w:val="0"/>
                <w:bCs w:val="0"/>
                <w:i w:val="0"/>
                <w:color w:val="auto"/>
                <w:sz w:val="18"/>
                <w:szCs w:val="18"/>
                <w:u w:val="none"/>
              </w:rPr>
            </w:pPr>
            <w:r>
              <w:rPr>
                <w:rFonts w:hint="eastAsia" w:cs="宋体"/>
                <w:b w:val="0"/>
                <w:bCs w:val="0"/>
                <w:i w:val="0"/>
                <w:color w:val="auto"/>
                <w:sz w:val="18"/>
                <w:szCs w:val="18"/>
                <w:u w:val="none"/>
                <w:lang w:val="en-US" w:eastAsia="zh-CN"/>
              </w:rPr>
              <w:t>8</w:t>
            </w: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ind w:left="0" w:leftChars="0" w:right="0" w:rightChars="0"/>
              <w:jc w:val="center"/>
              <w:rPr>
                <w:rFonts w:hint="default" w:ascii="Arial Narrow" w:hAnsi="Arial Narrow" w:eastAsia="宋体" w:cs="Arial Narrow"/>
                <w:b w:val="0"/>
                <w:bCs w:val="0"/>
                <w:i w:val="0"/>
                <w:color w:val="auto"/>
                <w:sz w:val="18"/>
                <w:szCs w:val="18"/>
                <w:u w:val="none"/>
                <w:lang w:val="en-US" w:eastAsia="zh-CN"/>
              </w:rPr>
            </w:pP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ind w:left="0" w:leftChars="0" w:right="0" w:rightChars="0"/>
              <w:rPr>
                <w:rFonts w:hint="eastAsia" w:ascii="宋体" w:hAnsi="宋体" w:eastAsia="宋体" w:cs="宋体"/>
                <w:b w:val="0"/>
                <w:bCs w:val="0"/>
                <w:i w:val="0"/>
                <w:color w:val="auto"/>
                <w:sz w:val="18"/>
                <w:szCs w:val="18"/>
                <w:u w:val="none"/>
              </w:rPr>
            </w:pPr>
          </w:p>
        </w:tc>
        <w:tc>
          <w:tcPr>
            <w:tcW w:w="2880"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keepNext w:val="0"/>
              <w:keepLines w:val="0"/>
              <w:widowControl/>
              <w:suppressLineNumbers w:val="0"/>
              <w:ind w:left="0" w:leftChars="0" w:right="0" w:rightChars="0"/>
              <w:jc w:val="left"/>
              <w:textAlignment w:val="center"/>
              <w:rPr>
                <w:rFonts w:hint="eastAsia" w:ascii="宋体" w:hAnsi="宋体" w:eastAsia="宋体" w:cs="宋体"/>
                <w:b w:val="0"/>
                <w:bCs w:val="0"/>
                <w:i w:val="0"/>
                <w:color w:val="auto"/>
                <w:kern w:val="0"/>
                <w:sz w:val="18"/>
                <w:szCs w:val="18"/>
                <w:u w:val="none"/>
                <w:lang w:val="en-US" w:eastAsia="zh-CN" w:bidi="ar"/>
              </w:rPr>
            </w:pPr>
            <w:r>
              <w:rPr>
                <w:rFonts w:hint="eastAsia" w:ascii="宋体" w:hAnsi="宋体" w:eastAsia="宋体" w:cs="宋体"/>
                <w:b w:val="0"/>
                <w:bCs w:val="0"/>
                <w:i w:val="0"/>
                <w:color w:val="auto"/>
                <w:kern w:val="0"/>
                <w:sz w:val="18"/>
                <w:szCs w:val="18"/>
                <w:u w:val="none"/>
                <w:lang w:val="en-US" w:eastAsia="zh-CN" w:bidi="ar"/>
              </w:rPr>
              <w:t>年度公约执行良好单位得</w:t>
            </w:r>
            <w:r>
              <w:rPr>
                <w:rFonts w:hint="eastAsia" w:cs="宋体"/>
                <w:b w:val="0"/>
                <w:bCs w:val="0"/>
                <w:i w:val="0"/>
                <w:color w:val="auto"/>
                <w:kern w:val="0"/>
                <w:sz w:val="18"/>
                <w:szCs w:val="18"/>
                <w:u w:val="none"/>
                <w:lang w:val="en-US" w:eastAsia="zh-CN" w:bidi="ar"/>
              </w:rPr>
              <w:t>8</w:t>
            </w:r>
            <w:r>
              <w:rPr>
                <w:rFonts w:hint="eastAsia" w:ascii="宋体" w:hAnsi="宋体" w:eastAsia="宋体" w:cs="宋体"/>
                <w:b w:val="0"/>
                <w:bCs w:val="0"/>
                <w:i w:val="0"/>
                <w:color w:val="auto"/>
                <w:kern w:val="0"/>
                <w:sz w:val="18"/>
                <w:szCs w:val="18"/>
                <w:u w:val="none"/>
                <w:lang w:val="en-US" w:eastAsia="zh-CN" w:bidi="ar"/>
              </w:rPr>
              <w:t>分</w:t>
            </w:r>
            <w:r>
              <w:rPr>
                <w:rFonts w:hint="eastAsia" w:cs="宋体"/>
                <w:b w:val="0"/>
                <w:bCs w:val="0"/>
                <w:i w:val="0"/>
                <w:color w:val="auto"/>
                <w:kern w:val="0"/>
                <w:sz w:val="18"/>
                <w:szCs w:val="18"/>
                <w:u w:val="none"/>
                <w:lang w:val="en-US" w:eastAsia="zh-CN" w:bidi="ar"/>
              </w:rPr>
              <w:t>，每认定一次违约行为扣2分</w:t>
            </w:r>
            <w:r>
              <w:rPr>
                <w:rFonts w:hint="eastAsia" w:ascii="宋体" w:hAnsi="宋体" w:eastAsia="宋体" w:cs="宋体"/>
                <w:b w:val="0"/>
                <w:bCs w:val="0"/>
                <w:i w:val="0"/>
                <w:color w:val="auto"/>
                <w:kern w:val="0"/>
                <w:sz w:val="18"/>
                <w:szCs w:val="18"/>
                <w:u w:val="none"/>
                <w:lang w:val="en-US" w:eastAsia="zh-CN" w:bidi="ar"/>
              </w:rPr>
              <w:t>。</w:t>
            </w:r>
          </w:p>
        </w:tc>
        <w:tc>
          <w:tcPr>
            <w:tcW w:w="2655" w:type="dxa"/>
            <w:gridSpan w:val="3"/>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ind w:left="0" w:leftChars="0" w:right="0" w:rightChars="0"/>
              <w:rPr>
                <w:rFonts w:hint="default" w:ascii="宋体" w:hAnsi="宋体" w:eastAsia="宋体" w:cs="宋体"/>
                <w:b w:val="0"/>
                <w:bCs w:val="0"/>
                <w:i w:val="0"/>
                <w:color w:val="auto"/>
                <w:sz w:val="18"/>
                <w:szCs w:val="18"/>
                <w:u w:val="none"/>
                <w:lang w:val="en-US" w:eastAsia="zh-CN"/>
              </w:rPr>
            </w:pPr>
            <w:r>
              <w:rPr>
                <w:rFonts w:hint="eastAsia" w:cs="宋体"/>
                <w:b w:val="0"/>
                <w:bCs w:val="0"/>
                <w:i w:val="0"/>
                <w:color w:val="auto"/>
                <w:sz w:val="18"/>
                <w:szCs w:val="18"/>
                <w:u w:val="none"/>
                <w:lang w:val="en-US" w:eastAsia="zh-CN"/>
              </w:rPr>
              <w:t>省协会诚信自律系统数据。</w:t>
            </w:r>
          </w:p>
        </w:tc>
      </w:tr>
      <w:tr>
        <w:tblPrEx>
          <w:tblLayout w:type="fixed"/>
          <w:tblCellMar>
            <w:top w:w="0" w:type="dxa"/>
            <w:left w:w="0" w:type="dxa"/>
            <w:bottom w:w="0" w:type="dxa"/>
            <w:right w:w="0" w:type="dxa"/>
          </w:tblCellMar>
        </w:tblPrEx>
        <w:trPr>
          <w:trHeight w:val="512" w:hRule="atLeast"/>
        </w:trPr>
        <w:tc>
          <w:tcPr>
            <w:tcW w:w="92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66" w:type="dxa"/>
            <w:gridSpan w:val="2"/>
            <w:vMerge w:val="continue"/>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FF0000"/>
                <w:kern w:val="0"/>
                <w:sz w:val="18"/>
                <w:szCs w:val="18"/>
                <w:u w:val="none"/>
                <w:lang w:val="en-US" w:eastAsia="zh-CN" w:bidi="ar"/>
              </w:rPr>
            </w:pPr>
          </w:p>
        </w:tc>
        <w:tc>
          <w:tcPr>
            <w:tcW w:w="1020" w:type="dxa"/>
            <w:gridSpan w:val="2"/>
            <w:vMerge w:val="continue"/>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kern w:val="0"/>
                <w:sz w:val="18"/>
                <w:szCs w:val="18"/>
                <w:u w:val="none"/>
                <w:lang w:val="en-US" w:eastAsia="zh-CN" w:bidi="ar"/>
              </w:rPr>
            </w:pPr>
          </w:p>
        </w:tc>
        <w:tc>
          <w:tcPr>
            <w:tcW w:w="2653" w:type="dxa"/>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keepNext w:val="0"/>
              <w:keepLines w:val="0"/>
              <w:widowControl/>
              <w:suppressLineNumbers w:val="0"/>
              <w:ind w:left="0" w:leftChars="0" w:right="0" w:rightChars="0"/>
              <w:jc w:val="left"/>
              <w:textAlignment w:val="center"/>
              <w:rPr>
                <w:rFonts w:hint="eastAsia" w:ascii="宋体" w:hAnsi="宋体" w:eastAsia="宋体" w:cs="宋体"/>
                <w:b w:val="0"/>
                <w:bCs w:val="0"/>
                <w:i w:val="0"/>
                <w:color w:val="auto"/>
                <w:kern w:val="0"/>
                <w:sz w:val="18"/>
                <w:szCs w:val="18"/>
                <w:u w:val="none"/>
                <w:lang w:val="en-US" w:eastAsia="zh-CN" w:bidi="ar"/>
              </w:rPr>
            </w:pPr>
            <w:r>
              <w:rPr>
                <w:rFonts w:hint="eastAsia" w:ascii="宋体" w:hAnsi="宋体" w:eastAsia="宋体" w:cs="宋体"/>
                <w:b w:val="0"/>
                <w:bCs w:val="0"/>
                <w:i w:val="0"/>
                <w:color w:val="auto"/>
                <w:kern w:val="0"/>
                <w:sz w:val="18"/>
                <w:szCs w:val="18"/>
                <w:u w:val="none"/>
                <w:lang w:val="en-US" w:eastAsia="zh-CN" w:bidi="ar"/>
              </w:rPr>
              <w:t>参加省</w:t>
            </w:r>
            <w:r>
              <w:rPr>
                <w:rFonts w:hint="eastAsia" w:cs="宋体"/>
                <w:b w:val="0"/>
                <w:bCs w:val="0"/>
                <w:i w:val="0"/>
                <w:color w:val="auto"/>
                <w:kern w:val="0"/>
                <w:sz w:val="18"/>
                <w:szCs w:val="18"/>
                <w:u w:val="none"/>
                <w:lang w:val="en-US" w:eastAsia="zh-CN" w:bidi="ar"/>
              </w:rPr>
              <w:t>市</w:t>
            </w:r>
            <w:r>
              <w:rPr>
                <w:rFonts w:hint="eastAsia" w:ascii="宋体" w:hAnsi="宋体" w:eastAsia="宋体" w:cs="宋体"/>
                <w:b w:val="0"/>
                <w:bCs w:val="0"/>
                <w:i w:val="0"/>
                <w:color w:val="auto"/>
                <w:kern w:val="0"/>
                <w:sz w:val="18"/>
                <w:szCs w:val="18"/>
                <w:u w:val="none"/>
                <w:lang w:val="en-US" w:eastAsia="zh-CN" w:bidi="ar"/>
              </w:rPr>
              <w:t>协会组织的技能竞赛、课题研究、文体活动等</w:t>
            </w:r>
          </w:p>
        </w:tc>
        <w:tc>
          <w:tcPr>
            <w:tcW w:w="1262"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default" w:ascii="宋体" w:hAnsi="宋体" w:eastAsia="宋体" w:cs="宋体"/>
                <w:b w:val="0"/>
                <w:bCs w:val="0"/>
                <w:i w:val="0"/>
                <w:color w:val="auto"/>
                <w:sz w:val="18"/>
                <w:szCs w:val="18"/>
                <w:u w:val="none"/>
                <w:lang w:val="en-US" w:eastAsia="zh-CN"/>
              </w:rPr>
            </w:pPr>
            <w:r>
              <w:rPr>
                <w:rFonts w:hint="eastAsia" w:cs="宋体"/>
                <w:b w:val="0"/>
                <w:bCs w:val="0"/>
                <w:i w:val="0"/>
                <w:color w:val="auto"/>
                <w:sz w:val="18"/>
                <w:szCs w:val="18"/>
                <w:u w:val="none"/>
                <w:lang w:val="en-US" w:eastAsia="zh-CN"/>
              </w:rPr>
              <w:t>0.5分/人次</w:t>
            </w:r>
          </w:p>
        </w:tc>
        <w:tc>
          <w:tcPr>
            <w:tcW w:w="451" w:type="dxa"/>
            <w:vMerge w:val="continue"/>
            <w:tcBorders>
              <w:left w:val="single" w:color="000000" w:sz="4" w:space="0"/>
              <w:right w:val="single" w:color="000000" w:sz="4" w:space="0"/>
            </w:tcBorders>
            <w:shd w:val="clear" w:color="auto" w:fill="F1F1F1" w:themeFill="background1" w:themeFillShade="F2"/>
            <w:tcMar>
              <w:top w:w="15" w:type="dxa"/>
              <w:left w:w="15" w:type="dxa"/>
              <w:right w:w="15" w:type="dxa"/>
            </w:tcMar>
            <w:vAlign w:val="center"/>
          </w:tcPr>
          <w:p>
            <w:pPr>
              <w:ind w:left="0" w:leftChars="0" w:right="0" w:rightChars="0"/>
              <w:jc w:val="center"/>
              <w:rPr>
                <w:rFonts w:hint="default" w:ascii="Arial Narrow" w:hAnsi="Arial Narrow" w:eastAsia="Arial Narrow" w:cs="Arial Narrow"/>
                <w:b w:val="0"/>
                <w:bCs w:val="0"/>
                <w:i w:val="0"/>
                <w:color w:val="auto"/>
                <w:sz w:val="18"/>
                <w:szCs w:val="18"/>
                <w:u w:val="none"/>
              </w:rPr>
            </w:pP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ind w:left="0" w:leftChars="0" w:right="0" w:rightChars="0"/>
              <w:jc w:val="center"/>
              <w:rPr>
                <w:rFonts w:hint="eastAsia" w:ascii="宋体" w:hAnsi="宋体" w:eastAsia="宋体" w:cs="宋体"/>
                <w:b w:val="0"/>
                <w:bCs w:val="0"/>
                <w:i w:val="0"/>
                <w:color w:val="auto"/>
                <w:sz w:val="18"/>
                <w:szCs w:val="18"/>
                <w:u w:val="none"/>
                <w:lang w:eastAsia="zh-CN"/>
              </w:rPr>
            </w:pPr>
            <w:r>
              <w:rPr>
                <w:rFonts w:hint="eastAsia" w:cs="宋体"/>
                <w:b w:val="0"/>
                <w:bCs w:val="0"/>
                <w:i w:val="0"/>
                <w:color w:val="auto"/>
                <w:sz w:val="18"/>
                <w:szCs w:val="18"/>
                <w:u w:val="none"/>
                <w:lang w:val="en-US" w:eastAsia="zh-CN"/>
              </w:rPr>
              <w:t>1</w:t>
            </w: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ind w:left="0" w:leftChars="0" w:right="0" w:rightChars="0"/>
              <w:jc w:val="center"/>
              <w:rPr>
                <w:rFonts w:hint="default" w:ascii="Arial Narrow" w:hAnsi="Arial Narrow" w:eastAsia="Arial Narrow" w:cs="Arial Narrow"/>
                <w:b w:val="0"/>
                <w:bCs w:val="0"/>
                <w:i w:val="0"/>
                <w:color w:val="auto"/>
                <w:sz w:val="18"/>
                <w:szCs w:val="18"/>
                <w:u w:val="none"/>
              </w:rPr>
            </w:pP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ind w:left="0" w:leftChars="0" w:right="0" w:rightChars="0"/>
              <w:rPr>
                <w:rFonts w:hint="eastAsia" w:ascii="宋体" w:hAnsi="宋体" w:eastAsia="宋体" w:cs="宋体"/>
                <w:b w:val="0"/>
                <w:bCs w:val="0"/>
                <w:i w:val="0"/>
                <w:color w:val="auto"/>
                <w:sz w:val="18"/>
                <w:szCs w:val="18"/>
                <w:u w:val="none"/>
              </w:rPr>
            </w:pPr>
          </w:p>
        </w:tc>
        <w:tc>
          <w:tcPr>
            <w:tcW w:w="2880"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keepNext w:val="0"/>
              <w:keepLines w:val="0"/>
              <w:widowControl/>
              <w:suppressLineNumbers w:val="0"/>
              <w:ind w:left="0" w:leftChars="0" w:right="0" w:rightChars="0"/>
              <w:jc w:val="left"/>
              <w:textAlignment w:val="center"/>
              <w:rPr>
                <w:rFonts w:hint="eastAsia" w:ascii="宋体" w:hAnsi="宋体" w:eastAsia="宋体" w:cs="宋体"/>
                <w:b w:val="0"/>
                <w:bCs w:val="0"/>
                <w:i w:val="0"/>
                <w:color w:val="auto"/>
                <w:kern w:val="0"/>
                <w:sz w:val="18"/>
                <w:szCs w:val="18"/>
                <w:u w:val="none"/>
                <w:lang w:val="en-US" w:eastAsia="zh-CN" w:bidi="ar"/>
              </w:rPr>
            </w:pPr>
          </w:p>
        </w:tc>
        <w:tc>
          <w:tcPr>
            <w:tcW w:w="2655" w:type="dxa"/>
            <w:gridSpan w:val="3"/>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ind w:left="0" w:leftChars="0" w:right="0" w:rightChars="0"/>
              <w:rPr>
                <w:rFonts w:hint="eastAsia" w:ascii="宋体" w:hAnsi="宋体" w:eastAsia="宋体" w:cs="宋体"/>
                <w:b w:val="0"/>
                <w:bCs w:val="0"/>
                <w:i w:val="0"/>
                <w:color w:val="auto"/>
                <w:sz w:val="18"/>
                <w:szCs w:val="18"/>
                <w:u w:val="none"/>
              </w:rPr>
            </w:pPr>
          </w:p>
        </w:tc>
      </w:tr>
      <w:tr>
        <w:tblPrEx>
          <w:tblLayout w:type="fixed"/>
          <w:tblCellMar>
            <w:top w:w="0" w:type="dxa"/>
            <w:left w:w="0" w:type="dxa"/>
            <w:bottom w:w="0" w:type="dxa"/>
            <w:right w:w="0" w:type="dxa"/>
          </w:tblCellMar>
        </w:tblPrEx>
        <w:trPr>
          <w:trHeight w:val="512" w:hRule="atLeast"/>
        </w:trPr>
        <w:tc>
          <w:tcPr>
            <w:tcW w:w="92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66" w:type="dxa"/>
            <w:gridSpan w:val="2"/>
            <w:vMerge w:val="continue"/>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FF0000"/>
                <w:kern w:val="0"/>
                <w:sz w:val="18"/>
                <w:szCs w:val="18"/>
                <w:u w:val="none"/>
                <w:lang w:val="en-US" w:eastAsia="zh-CN" w:bidi="ar"/>
              </w:rPr>
            </w:pPr>
          </w:p>
        </w:tc>
        <w:tc>
          <w:tcPr>
            <w:tcW w:w="1020" w:type="dxa"/>
            <w:gridSpan w:val="2"/>
            <w:vMerge w:val="continue"/>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kern w:val="0"/>
                <w:sz w:val="18"/>
                <w:szCs w:val="18"/>
                <w:u w:val="none"/>
                <w:lang w:val="en-US" w:eastAsia="zh-CN" w:bidi="ar"/>
              </w:rPr>
            </w:pPr>
          </w:p>
        </w:tc>
        <w:tc>
          <w:tcPr>
            <w:tcW w:w="2653" w:type="dxa"/>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keepNext w:val="0"/>
              <w:keepLines w:val="0"/>
              <w:widowControl/>
              <w:suppressLineNumbers w:val="0"/>
              <w:ind w:left="0" w:leftChars="0" w:right="0" w:rightChars="0"/>
              <w:jc w:val="left"/>
              <w:textAlignment w:val="center"/>
              <w:rPr>
                <w:rFonts w:hint="eastAsia" w:ascii="宋体" w:hAnsi="宋体" w:eastAsia="宋体" w:cs="宋体"/>
                <w:b w:val="0"/>
                <w:bCs w:val="0"/>
                <w:i w:val="0"/>
                <w:color w:val="auto"/>
                <w:kern w:val="0"/>
                <w:sz w:val="18"/>
                <w:szCs w:val="18"/>
                <w:u w:val="none"/>
                <w:lang w:val="en-US" w:eastAsia="zh-CN" w:bidi="ar"/>
              </w:rPr>
            </w:pPr>
            <w:r>
              <w:rPr>
                <w:rFonts w:hint="eastAsia" w:ascii="宋体" w:hAnsi="宋体" w:eastAsia="宋体" w:cs="宋体"/>
                <w:b w:val="0"/>
                <w:bCs w:val="0"/>
                <w:i w:val="0"/>
                <w:color w:val="auto"/>
                <w:kern w:val="0"/>
                <w:sz w:val="18"/>
                <w:szCs w:val="18"/>
                <w:u w:val="none"/>
                <w:lang w:val="en-US" w:eastAsia="zh-CN" w:bidi="ar"/>
              </w:rPr>
              <w:t>在省</w:t>
            </w:r>
            <w:r>
              <w:rPr>
                <w:rFonts w:hint="eastAsia" w:cs="宋体"/>
                <w:b w:val="0"/>
                <w:bCs w:val="0"/>
                <w:i w:val="0"/>
                <w:color w:val="auto"/>
                <w:kern w:val="0"/>
                <w:sz w:val="18"/>
                <w:szCs w:val="18"/>
                <w:u w:val="none"/>
                <w:lang w:val="en-US" w:eastAsia="zh-CN" w:bidi="ar"/>
              </w:rPr>
              <w:t>市</w:t>
            </w:r>
            <w:r>
              <w:rPr>
                <w:rFonts w:hint="eastAsia" w:ascii="宋体" w:hAnsi="宋体" w:eastAsia="宋体" w:cs="宋体"/>
                <w:b w:val="0"/>
                <w:bCs w:val="0"/>
                <w:i w:val="0"/>
                <w:color w:val="auto"/>
                <w:kern w:val="0"/>
                <w:sz w:val="18"/>
                <w:szCs w:val="18"/>
                <w:u w:val="none"/>
                <w:lang w:val="en-US" w:eastAsia="zh-CN" w:bidi="ar"/>
              </w:rPr>
              <w:t>协会会刊、网站、公众号上发表相关的论文、案例、通讯稿等</w:t>
            </w:r>
          </w:p>
        </w:tc>
        <w:tc>
          <w:tcPr>
            <w:tcW w:w="1262"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default" w:ascii="Arial Narrow" w:hAnsi="Arial Narrow" w:eastAsia="Arial Narrow" w:cs="Arial Narrow"/>
                <w:b w:val="0"/>
                <w:bCs w:val="0"/>
                <w:i w:val="0"/>
                <w:color w:val="auto"/>
                <w:kern w:val="0"/>
                <w:sz w:val="18"/>
                <w:szCs w:val="18"/>
                <w:u w:val="none"/>
                <w:lang w:val="en-US" w:eastAsia="zh-CN" w:bidi="ar"/>
              </w:rPr>
            </w:pPr>
            <w:r>
              <w:rPr>
                <w:rFonts w:hint="eastAsia" w:ascii="Arial Narrow" w:hAnsi="Arial Narrow" w:eastAsia="Arial Narrow" w:cs="Arial Narrow"/>
                <w:b w:val="0"/>
                <w:bCs w:val="0"/>
                <w:i w:val="0"/>
                <w:color w:val="auto"/>
                <w:kern w:val="0"/>
                <w:sz w:val="18"/>
                <w:szCs w:val="18"/>
                <w:u w:val="none"/>
                <w:lang w:val="en-US" w:eastAsia="zh-CN" w:bidi="ar"/>
              </w:rPr>
              <w:t>1分/人次</w:t>
            </w:r>
          </w:p>
        </w:tc>
        <w:tc>
          <w:tcPr>
            <w:tcW w:w="451" w:type="dxa"/>
            <w:vMerge w:val="continue"/>
            <w:tcBorders>
              <w:left w:val="single" w:color="000000" w:sz="4" w:space="0"/>
              <w:right w:val="single" w:color="000000" w:sz="4" w:space="0"/>
            </w:tcBorders>
            <w:shd w:val="clear" w:color="auto" w:fill="F1F1F1" w:themeFill="background1" w:themeFillShade="F2"/>
            <w:tcMar>
              <w:top w:w="15" w:type="dxa"/>
              <w:left w:w="15" w:type="dxa"/>
              <w:right w:w="15" w:type="dxa"/>
            </w:tcMar>
            <w:vAlign w:val="center"/>
          </w:tcPr>
          <w:p>
            <w:pPr>
              <w:ind w:left="0" w:leftChars="0" w:right="0" w:rightChars="0"/>
              <w:jc w:val="center"/>
              <w:rPr>
                <w:rFonts w:hint="default" w:ascii="Arial Narrow" w:hAnsi="Arial Narrow" w:eastAsia="Arial Narrow" w:cs="Arial Narrow"/>
                <w:b w:val="0"/>
                <w:bCs w:val="0"/>
                <w:i w:val="0"/>
                <w:color w:val="auto"/>
                <w:sz w:val="18"/>
                <w:szCs w:val="18"/>
                <w:u w:val="none"/>
              </w:rPr>
            </w:pP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ind w:left="0" w:leftChars="0" w:right="0" w:rightChars="0"/>
              <w:jc w:val="center"/>
              <w:rPr>
                <w:rFonts w:hint="eastAsia" w:ascii="宋体" w:hAnsi="宋体" w:eastAsia="宋体" w:cs="宋体"/>
                <w:b w:val="0"/>
                <w:bCs w:val="0"/>
                <w:i w:val="0"/>
                <w:color w:val="auto"/>
                <w:sz w:val="18"/>
                <w:szCs w:val="18"/>
                <w:u w:val="none"/>
                <w:lang w:eastAsia="zh-CN"/>
              </w:rPr>
            </w:pPr>
            <w:r>
              <w:rPr>
                <w:rFonts w:hint="eastAsia" w:cs="宋体"/>
                <w:b w:val="0"/>
                <w:bCs w:val="0"/>
                <w:i w:val="0"/>
                <w:color w:val="auto"/>
                <w:sz w:val="18"/>
                <w:szCs w:val="18"/>
                <w:u w:val="none"/>
                <w:lang w:val="en-US" w:eastAsia="zh-CN"/>
              </w:rPr>
              <w:t>2</w:t>
            </w: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ind w:left="0" w:leftChars="0" w:right="0" w:rightChars="0"/>
              <w:jc w:val="center"/>
              <w:rPr>
                <w:rFonts w:hint="default" w:ascii="Arial Narrow" w:hAnsi="Arial Narrow" w:eastAsia="Arial Narrow" w:cs="Arial Narrow"/>
                <w:b w:val="0"/>
                <w:bCs w:val="0"/>
                <w:i w:val="0"/>
                <w:color w:val="auto"/>
                <w:sz w:val="18"/>
                <w:szCs w:val="18"/>
                <w:u w:val="none"/>
              </w:rPr>
            </w:pP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ind w:left="0" w:leftChars="0" w:right="0" w:rightChars="0"/>
              <w:rPr>
                <w:rFonts w:hint="eastAsia" w:ascii="宋体" w:hAnsi="宋体" w:eastAsia="宋体" w:cs="宋体"/>
                <w:b w:val="0"/>
                <w:bCs w:val="0"/>
                <w:i w:val="0"/>
                <w:color w:val="auto"/>
                <w:sz w:val="18"/>
                <w:szCs w:val="18"/>
                <w:u w:val="none"/>
              </w:rPr>
            </w:pPr>
          </w:p>
        </w:tc>
        <w:tc>
          <w:tcPr>
            <w:tcW w:w="2880"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keepNext w:val="0"/>
              <w:keepLines w:val="0"/>
              <w:widowControl/>
              <w:suppressLineNumbers w:val="0"/>
              <w:ind w:left="0" w:leftChars="0" w:right="0" w:rightChars="0"/>
              <w:jc w:val="left"/>
              <w:textAlignment w:val="center"/>
              <w:rPr>
                <w:rFonts w:hint="eastAsia" w:ascii="宋体" w:hAnsi="宋体" w:eastAsia="宋体" w:cs="宋体"/>
                <w:b w:val="0"/>
                <w:bCs w:val="0"/>
                <w:i w:val="0"/>
                <w:color w:val="auto"/>
                <w:kern w:val="0"/>
                <w:sz w:val="18"/>
                <w:szCs w:val="18"/>
                <w:u w:val="none"/>
                <w:lang w:val="en-US" w:eastAsia="zh-CN" w:bidi="ar"/>
              </w:rPr>
            </w:pPr>
          </w:p>
        </w:tc>
        <w:tc>
          <w:tcPr>
            <w:tcW w:w="2655" w:type="dxa"/>
            <w:gridSpan w:val="3"/>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ind w:left="0" w:leftChars="0" w:right="0" w:rightChars="0"/>
              <w:rPr>
                <w:rFonts w:hint="eastAsia" w:ascii="宋体" w:hAnsi="宋体" w:eastAsia="宋体" w:cs="宋体"/>
                <w:b w:val="0"/>
                <w:bCs w:val="0"/>
                <w:i w:val="0"/>
                <w:color w:val="auto"/>
                <w:sz w:val="18"/>
                <w:szCs w:val="18"/>
                <w:u w:val="none"/>
              </w:rPr>
            </w:pPr>
          </w:p>
        </w:tc>
      </w:tr>
      <w:tr>
        <w:tblPrEx>
          <w:tblLayout w:type="fixed"/>
          <w:tblCellMar>
            <w:top w:w="0" w:type="dxa"/>
            <w:left w:w="0" w:type="dxa"/>
            <w:bottom w:w="0" w:type="dxa"/>
            <w:right w:w="0" w:type="dxa"/>
          </w:tblCellMar>
        </w:tblPrEx>
        <w:trPr>
          <w:trHeight w:val="512" w:hRule="atLeast"/>
        </w:trPr>
        <w:tc>
          <w:tcPr>
            <w:tcW w:w="92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66" w:type="dxa"/>
            <w:gridSpan w:val="2"/>
            <w:vMerge w:val="continue"/>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FF0000"/>
                <w:kern w:val="0"/>
                <w:sz w:val="18"/>
                <w:szCs w:val="18"/>
                <w:u w:val="none"/>
                <w:lang w:val="en-US" w:eastAsia="zh-CN" w:bidi="ar"/>
              </w:rPr>
            </w:pPr>
          </w:p>
        </w:tc>
        <w:tc>
          <w:tcPr>
            <w:tcW w:w="1020" w:type="dxa"/>
            <w:gridSpan w:val="2"/>
            <w:vMerge w:val="continue"/>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kern w:val="0"/>
                <w:sz w:val="18"/>
                <w:szCs w:val="18"/>
                <w:u w:val="none"/>
                <w:lang w:val="en-US" w:eastAsia="zh-CN" w:bidi="ar"/>
              </w:rPr>
            </w:pPr>
          </w:p>
        </w:tc>
        <w:tc>
          <w:tcPr>
            <w:tcW w:w="2653" w:type="dxa"/>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keepNext w:val="0"/>
              <w:keepLines w:val="0"/>
              <w:widowControl/>
              <w:suppressLineNumbers w:val="0"/>
              <w:ind w:left="0" w:leftChars="0" w:right="0" w:rightChars="0"/>
              <w:jc w:val="left"/>
              <w:textAlignment w:val="center"/>
              <w:rPr>
                <w:rFonts w:hint="eastAsia" w:ascii="宋体" w:hAnsi="宋体" w:eastAsia="宋体" w:cs="宋体"/>
                <w:b w:val="0"/>
                <w:bCs w:val="0"/>
                <w:i w:val="0"/>
                <w:color w:val="auto"/>
                <w:kern w:val="0"/>
                <w:sz w:val="18"/>
                <w:szCs w:val="18"/>
                <w:u w:val="none"/>
                <w:lang w:val="en-US" w:eastAsia="zh-CN" w:bidi="ar"/>
              </w:rPr>
            </w:pPr>
            <w:r>
              <w:rPr>
                <w:rFonts w:hint="eastAsia" w:ascii="宋体" w:hAnsi="宋体" w:eastAsia="宋体" w:cs="宋体"/>
                <w:b w:val="0"/>
                <w:bCs w:val="0"/>
                <w:i w:val="0"/>
                <w:color w:val="auto"/>
                <w:kern w:val="0"/>
                <w:sz w:val="18"/>
                <w:szCs w:val="18"/>
                <w:u w:val="none"/>
                <w:lang w:val="en-US" w:eastAsia="zh-CN" w:bidi="ar"/>
              </w:rPr>
              <w:t>省</w:t>
            </w:r>
            <w:r>
              <w:rPr>
                <w:rFonts w:hint="eastAsia" w:cs="宋体"/>
                <w:b w:val="0"/>
                <w:bCs w:val="0"/>
                <w:i w:val="0"/>
                <w:color w:val="auto"/>
                <w:kern w:val="0"/>
                <w:sz w:val="18"/>
                <w:szCs w:val="18"/>
                <w:u w:val="none"/>
                <w:lang w:val="en-US" w:eastAsia="zh-CN" w:bidi="ar"/>
              </w:rPr>
              <w:t>市</w:t>
            </w:r>
            <w:r>
              <w:rPr>
                <w:rFonts w:hint="eastAsia" w:ascii="宋体" w:hAnsi="宋体" w:eastAsia="宋体" w:cs="宋体"/>
                <w:b w:val="0"/>
                <w:bCs w:val="0"/>
                <w:i w:val="0"/>
                <w:color w:val="auto"/>
                <w:kern w:val="0"/>
                <w:sz w:val="18"/>
                <w:szCs w:val="18"/>
                <w:u w:val="none"/>
                <w:lang w:val="en-US" w:eastAsia="zh-CN" w:bidi="ar"/>
              </w:rPr>
              <w:t>协会公开表彰企业或企业从业人员</w:t>
            </w:r>
          </w:p>
        </w:tc>
        <w:tc>
          <w:tcPr>
            <w:tcW w:w="1262"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ind w:left="0" w:leftChars="0" w:right="0" w:rightChars="0"/>
              <w:jc w:val="center"/>
              <w:rPr>
                <w:rFonts w:hint="default" w:ascii="Arial Narrow" w:hAnsi="Arial Narrow" w:eastAsia="Arial Narrow" w:cs="Arial Narrow"/>
                <w:b w:val="0"/>
                <w:bCs w:val="0"/>
                <w:i w:val="0"/>
                <w:color w:val="auto"/>
                <w:kern w:val="0"/>
                <w:sz w:val="18"/>
                <w:szCs w:val="18"/>
                <w:u w:val="none"/>
                <w:lang w:val="en-US" w:eastAsia="zh-CN" w:bidi="ar"/>
              </w:rPr>
            </w:pPr>
            <w:r>
              <w:rPr>
                <w:rFonts w:hint="eastAsia" w:ascii="Arial Narrow" w:hAnsi="Arial Narrow" w:eastAsia="Arial Narrow" w:cs="Arial Narrow"/>
                <w:b w:val="0"/>
                <w:bCs w:val="0"/>
                <w:i w:val="0"/>
                <w:color w:val="auto"/>
                <w:kern w:val="0"/>
                <w:sz w:val="18"/>
                <w:szCs w:val="18"/>
                <w:u w:val="none"/>
                <w:lang w:val="en-US" w:eastAsia="zh-CN" w:bidi="ar"/>
              </w:rPr>
              <w:t>1分/人次</w:t>
            </w:r>
          </w:p>
        </w:tc>
        <w:tc>
          <w:tcPr>
            <w:tcW w:w="451" w:type="dxa"/>
            <w:vMerge w:val="continue"/>
            <w:tcBorders>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ind w:left="0" w:leftChars="0" w:right="0" w:rightChars="0"/>
              <w:jc w:val="center"/>
              <w:rPr>
                <w:rFonts w:hint="default" w:ascii="Arial Narrow" w:hAnsi="Arial Narrow" w:eastAsia="Arial Narrow" w:cs="Arial Narrow"/>
                <w:b w:val="0"/>
                <w:bCs w:val="0"/>
                <w:i w:val="0"/>
                <w:color w:val="auto"/>
                <w:sz w:val="18"/>
                <w:szCs w:val="18"/>
                <w:u w:val="none"/>
              </w:rPr>
            </w:pPr>
          </w:p>
        </w:tc>
        <w:tc>
          <w:tcPr>
            <w:tcW w:w="525"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ind w:left="0" w:leftChars="0" w:right="0" w:rightChars="0"/>
              <w:jc w:val="center"/>
              <w:rPr>
                <w:rFonts w:hint="eastAsia" w:ascii="宋体" w:hAnsi="宋体" w:eastAsia="宋体" w:cs="宋体"/>
                <w:b w:val="0"/>
                <w:bCs w:val="0"/>
                <w:i w:val="0"/>
                <w:color w:val="auto"/>
                <w:sz w:val="18"/>
                <w:szCs w:val="18"/>
                <w:u w:val="none"/>
                <w:lang w:eastAsia="zh-CN"/>
              </w:rPr>
            </w:pPr>
            <w:r>
              <w:rPr>
                <w:rFonts w:hint="eastAsia" w:cs="宋体"/>
                <w:b w:val="0"/>
                <w:bCs w:val="0"/>
                <w:i w:val="0"/>
                <w:color w:val="auto"/>
                <w:sz w:val="18"/>
                <w:szCs w:val="18"/>
                <w:u w:val="none"/>
                <w:lang w:val="en-US" w:eastAsia="zh-CN"/>
              </w:rPr>
              <w:t>1</w:t>
            </w:r>
          </w:p>
        </w:tc>
        <w:tc>
          <w:tcPr>
            <w:tcW w:w="480"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ind w:left="0" w:leftChars="0" w:right="0" w:rightChars="0"/>
              <w:jc w:val="center"/>
              <w:rPr>
                <w:rFonts w:hint="default" w:ascii="Arial Narrow" w:hAnsi="Arial Narrow" w:eastAsia="Arial Narrow" w:cs="Arial Narrow"/>
                <w:b w:val="0"/>
                <w:bCs w:val="0"/>
                <w:i w:val="0"/>
                <w:color w:val="auto"/>
                <w:sz w:val="18"/>
                <w:szCs w:val="18"/>
                <w:u w:val="none"/>
              </w:rPr>
            </w:pPr>
          </w:p>
        </w:tc>
        <w:tc>
          <w:tcPr>
            <w:tcW w:w="495"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noWrap/>
            <w:tcMar>
              <w:top w:w="15" w:type="dxa"/>
              <w:left w:w="15" w:type="dxa"/>
              <w:right w:w="15" w:type="dxa"/>
            </w:tcMar>
            <w:vAlign w:val="center"/>
          </w:tcPr>
          <w:p>
            <w:pPr>
              <w:ind w:left="0" w:leftChars="0" w:right="0" w:rightChars="0"/>
              <w:rPr>
                <w:rFonts w:hint="eastAsia" w:ascii="宋体" w:hAnsi="宋体" w:eastAsia="宋体" w:cs="宋体"/>
                <w:b w:val="0"/>
                <w:bCs w:val="0"/>
                <w:i w:val="0"/>
                <w:color w:val="auto"/>
                <w:sz w:val="18"/>
                <w:szCs w:val="18"/>
                <w:u w:val="none"/>
              </w:rPr>
            </w:pPr>
          </w:p>
        </w:tc>
        <w:tc>
          <w:tcPr>
            <w:tcW w:w="2880" w:type="dxa"/>
            <w:gridSpan w:val="2"/>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keepNext w:val="0"/>
              <w:keepLines w:val="0"/>
              <w:widowControl/>
              <w:suppressLineNumbers w:val="0"/>
              <w:ind w:left="0" w:leftChars="0" w:right="0" w:rightChars="0"/>
              <w:jc w:val="left"/>
              <w:textAlignment w:val="center"/>
              <w:rPr>
                <w:rFonts w:hint="eastAsia" w:ascii="宋体" w:hAnsi="宋体" w:eastAsia="宋体" w:cs="宋体"/>
                <w:b w:val="0"/>
                <w:bCs w:val="0"/>
                <w:i w:val="0"/>
                <w:color w:val="auto"/>
                <w:kern w:val="0"/>
                <w:sz w:val="18"/>
                <w:szCs w:val="18"/>
                <w:u w:val="none"/>
                <w:lang w:val="en-US" w:eastAsia="zh-CN" w:bidi="ar"/>
              </w:rPr>
            </w:pPr>
          </w:p>
        </w:tc>
        <w:tc>
          <w:tcPr>
            <w:tcW w:w="2655" w:type="dxa"/>
            <w:gridSpan w:val="3"/>
            <w:tcBorders>
              <w:top w:val="single" w:color="000000" w:sz="4" w:space="0"/>
              <w:left w:val="single" w:color="000000" w:sz="4" w:space="0"/>
              <w:bottom w:val="single" w:color="000000" w:sz="4" w:space="0"/>
              <w:right w:val="single" w:color="000000" w:sz="4" w:space="0"/>
            </w:tcBorders>
            <w:shd w:val="clear" w:color="auto" w:fill="F1F1F1" w:themeFill="background1" w:themeFillShade="F2"/>
            <w:tcMar>
              <w:top w:w="15" w:type="dxa"/>
              <w:left w:w="15" w:type="dxa"/>
              <w:right w:w="15" w:type="dxa"/>
            </w:tcMar>
            <w:vAlign w:val="center"/>
          </w:tcPr>
          <w:p>
            <w:pPr>
              <w:ind w:left="0" w:leftChars="0" w:right="0" w:rightChars="0"/>
              <w:rPr>
                <w:rFonts w:hint="eastAsia" w:ascii="宋体" w:hAnsi="宋体" w:eastAsia="宋体" w:cs="宋体"/>
                <w:b w:val="0"/>
                <w:bCs w:val="0"/>
                <w:i w:val="0"/>
                <w:color w:val="auto"/>
                <w:sz w:val="18"/>
                <w:szCs w:val="18"/>
                <w:u w:val="none"/>
              </w:rPr>
            </w:pPr>
          </w:p>
        </w:tc>
      </w:tr>
    </w:tbl>
    <w:p>
      <w:pPr>
        <w:rPr>
          <w:rFonts w:hint="default" w:asciiTheme="minorEastAsia" w:hAnsiTheme="minorEastAsia" w:eastAsiaTheme="minorEastAsia" w:cstheme="minorEastAsia"/>
          <w:sz w:val="21"/>
          <w:szCs w:val="21"/>
          <w:lang w:val="en-US" w:eastAsia="zh-CN"/>
        </w:rPr>
      </w:pPr>
      <w:r>
        <w:rPr>
          <w:rFonts w:hint="default" w:asciiTheme="minorEastAsia" w:hAnsiTheme="minorEastAsia" w:eastAsiaTheme="minorEastAsia" w:cstheme="minorEastAsia"/>
          <w:sz w:val="21"/>
          <w:szCs w:val="21"/>
          <w:lang w:val="en-US" w:eastAsia="zh-CN"/>
        </w:rPr>
        <w:br w:type="page"/>
      </w:r>
    </w:p>
    <w:tbl>
      <w:tblPr>
        <w:tblStyle w:val="6"/>
        <w:tblW w:w="14113" w:type="dxa"/>
        <w:tblInd w:w="0" w:type="dxa"/>
        <w:shd w:val="clear" w:color="auto" w:fill="auto"/>
        <w:tblLayout w:type="fixed"/>
        <w:tblCellMar>
          <w:top w:w="0" w:type="dxa"/>
          <w:left w:w="0" w:type="dxa"/>
          <w:bottom w:w="0" w:type="dxa"/>
          <w:right w:w="0" w:type="dxa"/>
        </w:tblCellMar>
      </w:tblPr>
      <w:tblGrid>
        <w:gridCol w:w="926"/>
        <w:gridCol w:w="766"/>
        <w:gridCol w:w="1133"/>
        <w:gridCol w:w="1740"/>
        <w:gridCol w:w="2655"/>
        <w:gridCol w:w="840"/>
        <w:gridCol w:w="615"/>
        <w:gridCol w:w="870"/>
        <w:gridCol w:w="1125"/>
        <w:gridCol w:w="2115"/>
        <w:gridCol w:w="1328"/>
      </w:tblGrid>
      <w:tr>
        <w:tblPrEx>
          <w:tblLayout w:type="fixed"/>
          <w:tblCellMar>
            <w:top w:w="0" w:type="dxa"/>
            <w:left w:w="0" w:type="dxa"/>
            <w:bottom w:w="0" w:type="dxa"/>
            <w:right w:w="0" w:type="dxa"/>
          </w:tblCellMar>
        </w:tblPrEx>
        <w:trPr>
          <w:trHeight w:val="512" w:hRule="atLeast"/>
        </w:trPr>
        <w:tc>
          <w:tcPr>
            <w:tcW w:w="92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7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FF0000"/>
                <w:kern w:val="0"/>
                <w:sz w:val="18"/>
                <w:szCs w:val="18"/>
                <w:u w:val="none"/>
                <w:lang w:val="en-US" w:eastAsia="zh-CN" w:bidi="ar"/>
              </w:rPr>
            </w:pPr>
            <w:r>
              <w:rPr>
                <w:rFonts w:hint="eastAsia" w:ascii="宋体" w:hAnsi="宋体" w:eastAsia="宋体" w:cs="宋体"/>
                <w:b/>
                <w:i w:val="0"/>
                <w:color w:val="000000"/>
                <w:kern w:val="0"/>
                <w:sz w:val="18"/>
                <w:szCs w:val="18"/>
                <w:u w:val="none"/>
                <w:lang w:val="en-US" w:eastAsia="zh-CN" w:bidi="ar"/>
              </w:rPr>
              <w:t>二级指标</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FF0000"/>
                <w:kern w:val="0"/>
                <w:sz w:val="18"/>
                <w:szCs w:val="18"/>
                <w:u w:val="none"/>
                <w:lang w:val="en-US" w:eastAsia="zh-CN" w:bidi="ar"/>
              </w:rPr>
            </w:pPr>
            <w:r>
              <w:rPr>
                <w:rFonts w:hint="eastAsia" w:ascii="宋体" w:hAnsi="宋体" w:eastAsia="宋体" w:cs="宋体"/>
                <w:b/>
                <w:i w:val="0"/>
                <w:color w:val="000000"/>
                <w:kern w:val="0"/>
                <w:sz w:val="18"/>
                <w:szCs w:val="18"/>
                <w:u w:val="none"/>
                <w:lang w:val="en-US" w:eastAsia="zh-CN" w:bidi="ar"/>
              </w:rPr>
              <w:t>三级指标</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b/>
                <w:i w:val="0"/>
                <w:color w:val="000000"/>
                <w:kern w:val="0"/>
                <w:sz w:val="18"/>
                <w:szCs w:val="18"/>
                <w:u w:val="none"/>
                <w:lang w:val="en-US" w:eastAsia="zh-CN" w:bidi="ar"/>
              </w:rPr>
              <w:t>评价标准</w:t>
            </w:r>
          </w:p>
        </w:tc>
        <w:tc>
          <w:tcPr>
            <w:tcW w:w="26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Arial Narrow" w:hAnsi="Arial Narrow" w:eastAsia="Arial Narrow" w:cs="Arial Narrow"/>
                <w:i w:val="0"/>
                <w:color w:val="000000"/>
                <w:kern w:val="0"/>
                <w:sz w:val="18"/>
                <w:szCs w:val="18"/>
                <w:u w:val="none"/>
                <w:lang w:val="en-US" w:eastAsia="zh-CN" w:bidi="ar"/>
              </w:rPr>
            </w:pPr>
            <w:r>
              <w:rPr>
                <w:rFonts w:hint="eastAsia" w:ascii="宋体" w:hAnsi="宋体" w:eastAsia="宋体" w:cs="宋体"/>
                <w:b/>
                <w:i w:val="0"/>
                <w:color w:val="000000"/>
                <w:kern w:val="0"/>
                <w:sz w:val="18"/>
                <w:szCs w:val="18"/>
                <w:u w:val="none"/>
                <w:lang w:val="en-US" w:eastAsia="zh-CN" w:bidi="ar"/>
              </w:rPr>
              <w:t>计算公式</w:t>
            </w:r>
          </w:p>
        </w:tc>
        <w:tc>
          <w:tcPr>
            <w:tcW w:w="84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default" w:ascii="Arial Narrow" w:hAnsi="Arial Narrow" w:eastAsia="Arial Narrow" w:cs="Arial Narrow"/>
                <w:i w:val="0"/>
                <w:color w:val="FF0000"/>
                <w:sz w:val="18"/>
                <w:szCs w:val="18"/>
                <w:u w:val="none"/>
              </w:rPr>
            </w:pPr>
            <w:r>
              <w:rPr>
                <w:rFonts w:hint="eastAsia" w:ascii="宋体" w:hAnsi="宋体" w:eastAsia="宋体" w:cs="宋体"/>
                <w:b/>
                <w:i w:val="0"/>
                <w:color w:val="000000"/>
                <w:kern w:val="0"/>
                <w:sz w:val="18"/>
                <w:szCs w:val="18"/>
                <w:u w:val="none"/>
                <w:lang w:val="en-US" w:eastAsia="zh-CN" w:bidi="ar"/>
              </w:rPr>
              <w:t>得分限额</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auto"/>
                <w:sz w:val="18"/>
                <w:szCs w:val="18"/>
                <w:u w:val="none"/>
              </w:rPr>
            </w:pPr>
            <w:r>
              <w:rPr>
                <w:rFonts w:hint="eastAsia" w:ascii="宋体" w:hAnsi="宋体" w:eastAsia="宋体" w:cs="宋体"/>
                <w:b/>
                <w:i w:val="0"/>
                <w:color w:val="000000"/>
                <w:kern w:val="0"/>
                <w:sz w:val="18"/>
                <w:szCs w:val="18"/>
                <w:u w:val="none"/>
                <w:lang w:val="en-US" w:eastAsia="zh-CN" w:bidi="ar"/>
              </w:rPr>
              <w:t>得分</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default" w:ascii="Arial Narrow" w:hAnsi="Arial Narrow" w:eastAsia="Arial Narrow" w:cs="Arial Narrow"/>
                <w:i w:val="0"/>
                <w:color w:val="FF0000"/>
                <w:sz w:val="18"/>
                <w:szCs w:val="18"/>
                <w:u w:val="none"/>
              </w:rPr>
            </w:pPr>
            <w:r>
              <w:rPr>
                <w:rFonts w:hint="eastAsia" w:ascii="宋体" w:hAnsi="宋体" w:eastAsia="宋体" w:cs="宋体"/>
                <w:b/>
                <w:i w:val="0"/>
                <w:color w:val="000000"/>
                <w:kern w:val="0"/>
                <w:sz w:val="18"/>
                <w:szCs w:val="18"/>
                <w:u w:val="none"/>
                <w:lang w:val="en-US" w:eastAsia="zh-CN" w:bidi="ar"/>
              </w:rPr>
              <w:t>扣分限额</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FF0000"/>
                <w:sz w:val="18"/>
                <w:szCs w:val="18"/>
                <w:u w:val="none"/>
              </w:rPr>
            </w:pPr>
            <w:r>
              <w:rPr>
                <w:rFonts w:hint="eastAsia" w:ascii="宋体" w:hAnsi="宋体" w:eastAsia="宋体" w:cs="宋体"/>
                <w:b/>
                <w:i w:val="0"/>
                <w:color w:val="000000"/>
                <w:kern w:val="0"/>
                <w:sz w:val="18"/>
                <w:szCs w:val="18"/>
                <w:u w:val="none"/>
                <w:lang w:val="en-US" w:eastAsia="zh-CN" w:bidi="ar"/>
              </w:rPr>
              <w:t>扣分</w:t>
            </w:r>
          </w:p>
        </w:tc>
        <w:tc>
          <w:tcPr>
            <w:tcW w:w="21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FF0000"/>
                <w:kern w:val="0"/>
                <w:sz w:val="18"/>
                <w:szCs w:val="18"/>
                <w:u w:val="none"/>
                <w:lang w:val="en-US" w:eastAsia="zh-CN" w:bidi="ar"/>
              </w:rPr>
            </w:pPr>
            <w:r>
              <w:rPr>
                <w:rFonts w:hint="eastAsia" w:ascii="宋体" w:hAnsi="宋体" w:eastAsia="宋体" w:cs="宋体"/>
                <w:b/>
                <w:i w:val="0"/>
                <w:color w:val="000000"/>
                <w:kern w:val="0"/>
                <w:sz w:val="18"/>
                <w:szCs w:val="18"/>
                <w:u w:val="none"/>
                <w:lang w:val="en-US" w:eastAsia="zh-CN" w:bidi="ar"/>
              </w:rPr>
              <w:t>说明</w:t>
            </w:r>
          </w:p>
        </w:tc>
        <w:tc>
          <w:tcPr>
            <w:tcW w:w="132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FF0000"/>
                <w:sz w:val="18"/>
                <w:szCs w:val="18"/>
                <w:u w:val="none"/>
              </w:rPr>
            </w:pPr>
            <w:r>
              <w:rPr>
                <w:rFonts w:hint="eastAsia" w:ascii="宋体" w:hAnsi="宋体" w:eastAsia="宋体" w:cs="宋体"/>
                <w:b/>
                <w:i w:val="0"/>
                <w:color w:val="000000"/>
                <w:kern w:val="0"/>
                <w:sz w:val="18"/>
                <w:szCs w:val="18"/>
                <w:u w:val="none"/>
                <w:lang w:val="en-US" w:eastAsia="zh-CN" w:bidi="ar"/>
              </w:rPr>
              <w:t xml:space="preserve"> 数据来源</w:t>
            </w:r>
          </w:p>
        </w:tc>
      </w:tr>
      <w:tr>
        <w:tblPrEx>
          <w:tblLayout w:type="fixed"/>
          <w:tblCellMar>
            <w:top w:w="0" w:type="dxa"/>
            <w:left w:w="0" w:type="dxa"/>
            <w:bottom w:w="0" w:type="dxa"/>
            <w:right w:w="0" w:type="dxa"/>
          </w:tblCellMar>
        </w:tblPrEx>
        <w:trPr>
          <w:trHeight w:val="707" w:hRule="atLeast"/>
        </w:trPr>
        <w:tc>
          <w:tcPr>
            <w:tcW w:w="92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4.良好行为和不良行为</w:t>
            </w:r>
          </w:p>
        </w:tc>
        <w:tc>
          <w:tcPr>
            <w:tcW w:w="76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良好行为加分</w:t>
            </w:r>
          </w:p>
        </w:tc>
        <w:tc>
          <w:tcPr>
            <w:tcW w:w="113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4.1.1</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良好行为</w:t>
            </w: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见良好行为加分表（附件3）</w:t>
            </w:r>
          </w:p>
        </w:tc>
        <w:tc>
          <w:tcPr>
            <w:tcW w:w="265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10</w:t>
            </w:r>
          </w:p>
        </w:tc>
        <w:tc>
          <w:tcPr>
            <w:tcW w:w="6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1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最高得分限10分。</w:t>
            </w:r>
          </w:p>
        </w:tc>
        <w:tc>
          <w:tcPr>
            <w:tcW w:w="132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9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6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4.2</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不良行为扣分</w:t>
            </w:r>
          </w:p>
        </w:tc>
        <w:tc>
          <w:tcPr>
            <w:tcW w:w="113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4.2.1</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不良行为</w:t>
            </w: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见不良行为扣分表（附件4）</w:t>
            </w:r>
          </w:p>
        </w:tc>
        <w:tc>
          <w:tcPr>
            <w:tcW w:w="265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Arial Narrow" w:hAnsi="Arial Narrow" w:eastAsia="Arial Narrow" w:cs="Arial Narrow"/>
                <w:i w:val="0"/>
                <w:color w:val="000000"/>
                <w:sz w:val="18"/>
                <w:szCs w:val="18"/>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Arial Narrow" w:hAnsi="Arial Narrow" w:eastAsia="Arial Narrow" w:cs="Arial Narrow"/>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1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最高减分不限。</w:t>
            </w:r>
          </w:p>
        </w:tc>
        <w:tc>
          <w:tcPr>
            <w:tcW w:w="132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225" w:hRule="atLeast"/>
        </w:trPr>
        <w:tc>
          <w:tcPr>
            <w:tcW w:w="7220" w:type="dxa"/>
            <w:gridSpan w:val="5"/>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合     计</w:t>
            </w:r>
          </w:p>
        </w:tc>
        <w:tc>
          <w:tcPr>
            <w:tcW w:w="84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18"/>
                <w:szCs w:val="18"/>
                <w:u w:val="none"/>
              </w:rPr>
            </w:pPr>
            <w:r>
              <w:rPr>
                <w:rFonts w:hint="default" w:ascii="Arial Narrow" w:hAnsi="Arial Narrow" w:eastAsia="Arial Narrow" w:cs="Arial Narrow"/>
                <w:i w:val="0"/>
                <w:color w:val="000000"/>
                <w:kern w:val="0"/>
                <w:sz w:val="18"/>
                <w:szCs w:val="18"/>
                <w:u w:val="none"/>
                <w:lang w:val="en-US" w:eastAsia="zh-CN" w:bidi="ar"/>
              </w:rPr>
              <w:t>100</w:t>
            </w:r>
          </w:p>
        </w:tc>
        <w:tc>
          <w:tcPr>
            <w:tcW w:w="6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11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32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bl>
    <w:p>
      <w:pPr>
        <w:keepNext w:val="0"/>
        <w:keepLines w:val="0"/>
        <w:pageBreakBefore w:val="0"/>
        <w:widowControl w:val="0"/>
        <w:kinsoku/>
        <w:wordWrap/>
        <w:overflowPunct/>
        <w:topLinePunct w:val="0"/>
        <w:autoSpaceDE w:val="0"/>
        <w:autoSpaceDN w:val="0"/>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注： 1、数据来源栏没有说明的，均为“企业填报相关信息，准备相关材料备查，接受社会监督”；</w:t>
      </w:r>
    </w:p>
    <w:p>
      <w:pPr>
        <w:keepNext w:val="0"/>
        <w:keepLines w:val="0"/>
        <w:pageBreakBefore w:val="0"/>
        <w:widowControl w:val="0"/>
        <w:numPr>
          <w:ilvl w:val="0"/>
          <w:numId w:val="2"/>
        </w:numPr>
        <w:kinsoku/>
        <w:wordWrap/>
        <w:overflowPunct/>
        <w:topLinePunct w:val="0"/>
        <w:autoSpaceDE w:val="0"/>
        <w:autoSpaceDN w:val="0"/>
        <w:bidi w:val="0"/>
        <w:adjustRightInd/>
        <w:snapToGrid/>
        <w:spacing w:line="360" w:lineRule="auto"/>
        <w:ind w:left="525" w:leftChars="0" w:firstLine="0" w:firstLineChars="0"/>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得分合计100分，所有得分小数点后保留2位。</w:t>
      </w: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360" w:lineRule="auto"/>
        <w:ind w:right="0" w:rightChars="0"/>
        <w:jc w:val="left"/>
        <w:textAlignment w:val="auto"/>
        <w:rPr>
          <w:rFonts w:hint="eastAsia" w:asciiTheme="minorEastAsia" w:hAnsiTheme="minorEastAsia" w:eastAsiaTheme="minorEastAsia" w:cstheme="minorEastAsia"/>
          <w:sz w:val="21"/>
          <w:szCs w:val="21"/>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360" w:lineRule="auto"/>
        <w:ind w:right="0" w:rightChars="0"/>
        <w:jc w:val="left"/>
        <w:textAlignment w:val="auto"/>
        <w:rPr>
          <w:rFonts w:hint="eastAsia" w:asciiTheme="minorEastAsia" w:hAnsiTheme="minorEastAsia" w:eastAsiaTheme="minorEastAsia" w:cstheme="minorEastAsia"/>
          <w:sz w:val="21"/>
          <w:szCs w:val="21"/>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360" w:lineRule="auto"/>
        <w:ind w:right="0" w:rightChars="0"/>
        <w:jc w:val="left"/>
        <w:textAlignment w:val="auto"/>
        <w:rPr>
          <w:rFonts w:hint="eastAsia" w:asciiTheme="minorEastAsia" w:hAnsiTheme="minorEastAsia" w:eastAsiaTheme="minorEastAsia" w:cstheme="minorEastAsia"/>
          <w:sz w:val="21"/>
          <w:szCs w:val="21"/>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360" w:lineRule="auto"/>
        <w:ind w:right="0" w:rightChars="0"/>
        <w:jc w:val="left"/>
        <w:textAlignment w:val="auto"/>
        <w:rPr>
          <w:rFonts w:hint="eastAsia" w:asciiTheme="minorEastAsia" w:hAnsiTheme="minorEastAsia" w:eastAsiaTheme="minorEastAsia" w:cstheme="minorEastAsia"/>
          <w:sz w:val="21"/>
          <w:szCs w:val="21"/>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360" w:lineRule="auto"/>
        <w:ind w:right="0" w:rightChars="0"/>
        <w:jc w:val="left"/>
        <w:textAlignment w:val="auto"/>
        <w:rPr>
          <w:rFonts w:hint="eastAsia" w:asciiTheme="minorEastAsia" w:hAnsiTheme="minorEastAsia" w:eastAsiaTheme="minorEastAsia" w:cstheme="minorEastAsia"/>
          <w:sz w:val="21"/>
          <w:szCs w:val="21"/>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360" w:lineRule="auto"/>
        <w:ind w:right="0" w:rightChars="0"/>
        <w:jc w:val="left"/>
        <w:textAlignment w:val="auto"/>
        <w:rPr>
          <w:rFonts w:hint="eastAsia" w:asciiTheme="minorEastAsia" w:hAnsiTheme="minorEastAsia" w:eastAsiaTheme="minorEastAsia" w:cstheme="minorEastAsia"/>
          <w:sz w:val="21"/>
          <w:szCs w:val="21"/>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360" w:lineRule="auto"/>
        <w:ind w:right="0" w:rightChars="0"/>
        <w:jc w:val="left"/>
        <w:textAlignment w:val="auto"/>
        <w:rPr>
          <w:rFonts w:hint="eastAsia" w:asciiTheme="minorEastAsia" w:hAnsiTheme="minorEastAsia" w:eastAsiaTheme="minorEastAsia" w:cstheme="minorEastAsia"/>
          <w:sz w:val="21"/>
          <w:szCs w:val="21"/>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360" w:lineRule="auto"/>
        <w:ind w:right="0" w:rightChars="0"/>
        <w:jc w:val="left"/>
        <w:textAlignment w:val="auto"/>
        <w:rPr>
          <w:rFonts w:hint="eastAsia" w:asciiTheme="minorEastAsia" w:hAnsiTheme="minorEastAsia" w:eastAsiaTheme="minorEastAsia" w:cstheme="minorEastAsia"/>
          <w:sz w:val="21"/>
          <w:szCs w:val="21"/>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360" w:lineRule="auto"/>
        <w:ind w:right="0" w:rightChars="0"/>
        <w:jc w:val="left"/>
        <w:textAlignment w:val="auto"/>
        <w:rPr>
          <w:rFonts w:hint="eastAsia" w:asciiTheme="minorEastAsia" w:hAnsiTheme="minorEastAsia" w:eastAsiaTheme="minorEastAsia" w:cstheme="minorEastAsia"/>
          <w:sz w:val="21"/>
          <w:szCs w:val="21"/>
          <w:lang w:val="en-US" w:eastAsia="zh-CN"/>
        </w:rPr>
      </w:pPr>
    </w:p>
    <w:p>
      <w:pPr>
        <w:rPr>
          <w:rFonts w:hint="default" w:asciiTheme="minorEastAsia" w:hAnsiTheme="minorEastAsia" w:eastAsiaTheme="minorEastAsia" w:cstheme="minorEastAsia"/>
          <w:sz w:val="21"/>
          <w:szCs w:val="21"/>
          <w:lang w:val="en-US" w:eastAsia="zh-CN"/>
        </w:rPr>
      </w:pPr>
    </w:p>
    <w:p>
      <w:pPr>
        <w:rPr>
          <w:rFonts w:hint="default" w:asciiTheme="minorEastAsia" w:hAnsiTheme="minorEastAsia" w:eastAsiaTheme="minorEastAsia" w:cstheme="minorEastAsia"/>
          <w:sz w:val="21"/>
          <w:szCs w:val="21"/>
          <w:lang w:val="en-US" w:eastAsia="zh-CN"/>
        </w:rPr>
      </w:pPr>
    </w:p>
    <w:tbl>
      <w:tblPr>
        <w:tblStyle w:val="6"/>
        <w:tblpPr w:leftFromText="180" w:rightFromText="180" w:vertAnchor="text" w:horzAnchor="page" w:tblpX="1430" w:tblpY="115"/>
        <w:tblOverlap w:val="never"/>
        <w:tblW w:w="14120" w:type="dxa"/>
        <w:tblInd w:w="0" w:type="dxa"/>
        <w:shd w:val="clear" w:color="auto" w:fill="auto"/>
        <w:tblLayout w:type="fixed"/>
        <w:tblCellMar>
          <w:top w:w="0" w:type="dxa"/>
          <w:left w:w="0" w:type="dxa"/>
          <w:bottom w:w="0" w:type="dxa"/>
          <w:right w:w="0" w:type="dxa"/>
        </w:tblCellMar>
      </w:tblPr>
      <w:tblGrid>
        <w:gridCol w:w="568"/>
        <w:gridCol w:w="1150"/>
        <w:gridCol w:w="1217"/>
        <w:gridCol w:w="1042"/>
        <w:gridCol w:w="951"/>
        <w:gridCol w:w="905"/>
        <w:gridCol w:w="1019"/>
        <w:gridCol w:w="1067"/>
        <w:gridCol w:w="1054"/>
        <w:gridCol w:w="1033"/>
        <w:gridCol w:w="1031"/>
        <w:gridCol w:w="927"/>
        <w:gridCol w:w="1033"/>
        <w:gridCol w:w="1123"/>
      </w:tblGrid>
      <w:tr>
        <w:tblPrEx>
          <w:shd w:val="clear" w:color="auto" w:fill="auto"/>
          <w:tblLayout w:type="fixed"/>
          <w:tblCellMar>
            <w:top w:w="0" w:type="dxa"/>
            <w:left w:w="0" w:type="dxa"/>
            <w:bottom w:w="0" w:type="dxa"/>
            <w:right w:w="0" w:type="dxa"/>
          </w:tblCellMar>
        </w:tblPrEx>
        <w:trPr>
          <w:trHeight w:val="90" w:hRule="atLeast"/>
        </w:trPr>
        <w:tc>
          <w:tcPr>
            <w:tcW w:w="14120" w:type="dxa"/>
            <w:gridSpan w:val="14"/>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32"/>
                <w:szCs w:val="32"/>
                <w:u w:val="none"/>
              </w:rPr>
            </w:pPr>
            <w:r>
              <w:rPr>
                <w:rFonts w:hint="eastAsia" w:ascii="宋体" w:hAnsi="宋体" w:eastAsia="宋体" w:cs="宋体"/>
                <w:b/>
                <w:i w:val="0"/>
                <w:color w:val="000000"/>
                <w:kern w:val="0"/>
                <w:sz w:val="32"/>
                <w:szCs w:val="32"/>
                <w:u w:val="none"/>
                <w:lang w:val="en-US" w:eastAsia="zh-CN" w:bidi="ar"/>
              </w:rPr>
              <w:t xml:space="preserve"> </w:t>
            </w:r>
            <w:r>
              <w:rPr>
                <w:rFonts w:hint="eastAsia" w:ascii="宋体" w:hAnsi="宋体" w:eastAsia="宋体" w:cs="宋体"/>
                <w:b/>
                <w:i w:val="0"/>
                <w:color w:val="000000"/>
                <w:kern w:val="0"/>
                <w:sz w:val="30"/>
                <w:szCs w:val="30"/>
                <w:u w:val="none"/>
                <w:lang w:val="en-US" w:eastAsia="zh-CN" w:bidi="ar"/>
              </w:rPr>
              <w:t>附</w:t>
            </w:r>
            <w:r>
              <w:rPr>
                <w:rFonts w:hint="eastAsia" w:cs="宋体"/>
                <w:b/>
                <w:i w:val="0"/>
                <w:color w:val="000000"/>
                <w:kern w:val="0"/>
                <w:sz w:val="30"/>
                <w:szCs w:val="30"/>
                <w:u w:val="none"/>
                <w:lang w:val="en-US" w:eastAsia="zh-CN" w:bidi="ar"/>
              </w:rPr>
              <w:t>表</w:t>
            </w:r>
            <w:r>
              <w:rPr>
                <w:rFonts w:hint="eastAsia" w:ascii="宋体" w:hAnsi="宋体" w:eastAsia="宋体" w:cs="宋体"/>
                <w:b/>
                <w:i w:val="0"/>
                <w:color w:val="000000"/>
                <w:kern w:val="0"/>
                <w:sz w:val="30"/>
                <w:szCs w:val="30"/>
                <w:u w:val="none"/>
                <w:lang w:val="en-US" w:eastAsia="zh-CN" w:bidi="ar"/>
              </w:rPr>
              <w:t xml:space="preserve">1.3.1：             </w:t>
            </w:r>
            <w:r>
              <w:rPr>
                <w:rFonts w:hint="eastAsia" w:cs="宋体"/>
                <w:b/>
                <w:i w:val="0"/>
                <w:color w:val="000000"/>
                <w:kern w:val="0"/>
                <w:sz w:val="30"/>
                <w:szCs w:val="30"/>
                <w:u w:val="none"/>
                <w:lang w:val="en-US" w:eastAsia="zh-CN" w:bidi="ar"/>
              </w:rPr>
              <w:t xml:space="preserve"> </w:t>
            </w:r>
            <w:r>
              <w:rPr>
                <w:rFonts w:hint="eastAsia" w:ascii="宋体" w:hAnsi="宋体" w:eastAsia="宋体" w:cs="宋体"/>
                <w:b/>
                <w:i w:val="0"/>
                <w:color w:val="000000"/>
                <w:kern w:val="0"/>
                <w:sz w:val="30"/>
                <w:szCs w:val="30"/>
                <w:u w:val="none"/>
                <w:lang w:val="en-US" w:eastAsia="zh-CN" w:bidi="ar"/>
              </w:rPr>
              <w:t>工程造价咨询企业信用社会评价意见汇总表</w:t>
            </w:r>
          </w:p>
        </w:tc>
      </w:tr>
      <w:tr>
        <w:tblPrEx>
          <w:tblLayout w:type="fixed"/>
          <w:tblCellMar>
            <w:top w:w="0" w:type="dxa"/>
            <w:left w:w="0" w:type="dxa"/>
            <w:bottom w:w="0" w:type="dxa"/>
            <w:right w:w="0" w:type="dxa"/>
          </w:tblCellMar>
        </w:tblPrEx>
        <w:trPr>
          <w:trHeight w:val="768" w:hRule="atLeast"/>
        </w:trPr>
        <w:tc>
          <w:tcPr>
            <w:tcW w:w="568" w:type="dxa"/>
            <w:vMerge w:val="restart"/>
            <w:tcBorders>
              <w:top w:val="single" w:color="000000" w:sz="8"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序号</w:t>
            </w:r>
          </w:p>
        </w:tc>
        <w:tc>
          <w:tcPr>
            <w:tcW w:w="1150" w:type="dxa"/>
            <w:vMerge w:val="restart"/>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造价咨询项目名称</w:t>
            </w:r>
          </w:p>
        </w:tc>
        <w:tc>
          <w:tcPr>
            <w:tcW w:w="1217" w:type="dxa"/>
            <w:vMerge w:val="restart"/>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造价咨询项目业主单位名称</w:t>
            </w:r>
          </w:p>
        </w:tc>
        <w:tc>
          <w:tcPr>
            <w:tcW w:w="1042"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造价咨询         工作计划</w:t>
            </w:r>
          </w:p>
        </w:tc>
        <w:tc>
          <w:tcPr>
            <w:tcW w:w="951"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服务态度   专业水平</w:t>
            </w:r>
          </w:p>
        </w:tc>
        <w:tc>
          <w:tcPr>
            <w:tcW w:w="905" w:type="dxa"/>
            <w:tcBorders>
              <w:top w:val="single" w:color="000000" w:sz="8"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成果质量</w:t>
            </w:r>
          </w:p>
        </w:tc>
        <w:tc>
          <w:tcPr>
            <w:tcW w:w="1019"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执行工作      程序制度</w:t>
            </w:r>
          </w:p>
        </w:tc>
        <w:tc>
          <w:tcPr>
            <w:tcW w:w="1067"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合同履行情况</w:t>
            </w:r>
          </w:p>
        </w:tc>
        <w:tc>
          <w:tcPr>
            <w:tcW w:w="1054"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咨询达到         实际目标</w:t>
            </w:r>
          </w:p>
        </w:tc>
        <w:tc>
          <w:tcPr>
            <w:tcW w:w="1033"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机构设置             人员配备</w:t>
            </w:r>
          </w:p>
        </w:tc>
        <w:tc>
          <w:tcPr>
            <w:tcW w:w="1031"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咨询工作进度</w:t>
            </w:r>
          </w:p>
        </w:tc>
        <w:tc>
          <w:tcPr>
            <w:tcW w:w="927"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职业道德                 廉洁自律</w:t>
            </w:r>
          </w:p>
        </w:tc>
        <w:tc>
          <w:tcPr>
            <w:tcW w:w="1033"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服务收费           是否合理</w:t>
            </w:r>
          </w:p>
        </w:tc>
        <w:tc>
          <w:tcPr>
            <w:tcW w:w="1123" w:type="dxa"/>
            <w:tcBorders>
              <w:top w:val="single" w:color="000000" w:sz="8" w:space="0"/>
              <w:left w:val="single" w:color="000000" w:sz="4" w:space="0"/>
              <w:bottom w:val="single" w:color="000000" w:sz="4" w:space="0"/>
              <w:right w:val="single" w:color="000000" w:sz="8"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社会评价</w:t>
            </w:r>
          </w:p>
        </w:tc>
      </w:tr>
      <w:tr>
        <w:tblPrEx>
          <w:tblLayout w:type="fixed"/>
          <w:tblCellMar>
            <w:top w:w="0" w:type="dxa"/>
            <w:left w:w="0" w:type="dxa"/>
            <w:bottom w:w="0" w:type="dxa"/>
            <w:right w:w="0" w:type="dxa"/>
          </w:tblCellMar>
        </w:tblPrEx>
        <w:trPr>
          <w:trHeight w:val="1506" w:hRule="atLeast"/>
        </w:trPr>
        <w:tc>
          <w:tcPr>
            <w:tcW w:w="568" w:type="dxa"/>
            <w:vMerge w:val="continue"/>
            <w:tcBorders>
              <w:top w:val="single" w:color="000000" w:sz="8"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0" w:type="dxa"/>
            <w:vMerge w:val="continue"/>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17" w:type="dxa"/>
            <w:vMerge w:val="continue"/>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（优良5-4、一般3-2、较差1-0）            5分</w:t>
            </w: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（优良15-11、一般10-6、  较差5-0）            15分</w:t>
            </w: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（优良15-11、一般10-6、  较差5-0）            15分</w:t>
            </w:r>
          </w:p>
        </w:tc>
        <w:tc>
          <w:tcPr>
            <w:tcW w:w="10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（优良5-4、一般3-2、较差1-0）            5分</w:t>
            </w:r>
          </w:p>
        </w:tc>
        <w:tc>
          <w:tcPr>
            <w:tcW w:w="10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（优良10-6、一般5-3、  较差2-0）            10分</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（满意10-6、一般5-3、不满意2-0）              10分</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（满意10-6、一般5-3、不满意2-0）              10分</w:t>
            </w:r>
          </w:p>
        </w:tc>
        <w:tc>
          <w:tcPr>
            <w:tcW w:w="10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（满意5-4、一般3-2、不满意1-0）                5分</w:t>
            </w:r>
          </w:p>
        </w:tc>
        <w:tc>
          <w:tcPr>
            <w:tcW w:w="9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（优良20-11、一般10-6、较差5-0）            20分</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（规范5-4、 合理3-2、压价1-0）            5分</w:t>
            </w:r>
          </w:p>
        </w:tc>
        <w:tc>
          <w:tcPr>
            <w:tcW w:w="1123"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合计得分</w:t>
            </w:r>
          </w:p>
        </w:tc>
      </w:tr>
      <w:tr>
        <w:tblPrEx>
          <w:tblLayout w:type="fixed"/>
          <w:tblCellMar>
            <w:top w:w="0" w:type="dxa"/>
            <w:left w:w="0" w:type="dxa"/>
            <w:bottom w:w="0" w:type="dxa"/>
            <w:right w:w="0" w:type="dxa"/>
          </w:tblCellMar>
        </w:tblPrEx>
        <w:trPr>
          <w:trHeight w:val="569" w:hRule="atLeast"/>
        </w:trPr>
        <w:tc>
          <w:tcPr>
            <w:tcW w:w="568"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Arial Unicode MS" w:hAnsi="Arial Unicode MS" w:eastAsia="Arial Unicode MS" w:cs="Arial Unicode MS"/>
                <w:i w:val="0"/>
                <w:color w:val="000000"/>
                <w:sz w:val="20"/>
                <w:szCs w:val="20"/>
                <w:u w:val="none"/>
              </w:rPr>
            </w:pPr>
            <w:r>
              <w:rPr>
                <w:rFonts w:hint="default" w:ascii="Arial Unicode MS" w:hAnsi="Arial Unicode MS" w:eastAsia="Arial Unicode MS" w:cs="Arial Unicode MS"/>
                <w:i w:val="0"/>
                <w:color w:val="000000"/>
                <w:kern w:val="0"/>
                <w:sz w:val="20"/>
                <w:szCs w:val="20"/>
                <w:u w:val="none"/>
                <w:lang w:val="en-US" w:eastAsia="zh-CN" w:bidi="ar"/>
              </w:rPr>
              <w:t>1</w:t>
            </w: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23"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69" w:hRule="atLeast"/>
        </w:trPr>
        <w:tc>
          <w:tcPr>
            <w:tcW w:w="568"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Arial Unicode MS" w:hAnsi="Arial Unicode MS" w:eastAsia="Arial Unicode MS" w:cs="Arial Unicode MS"/>
                <w:i w:val="0"/>
                <w:color w:val="000000"/>
                <w:sz w:val="20"/>
                <w:szCs w:val="20"/>
                <w:u w:val="none"/>
              </w:rPr>
            </w:pPr>
            <w:r>
              <w:rPr>
                <w:rFonts w:hint="default" w:ascii="Arial Unicode MS" w:hAnsi="Arial Unicode MS" w:eastAsia="Arial Unicode MS" w:cs="Arial Unicode MS"/>
                <w:i w:val="0"/>
                <w:color w:val="000000"/>
                <w:kern w:val="0"/>
                <w:sz w:val="20"/>
                <w:szCs w:val="20"/>
                <w:u w:val="none"/>
                <w:lang w:val="en-US" w:eastAsia="zh-CN" w:bidi="ar"/>
              </w:rPr>
              <w:t>2</w:t>
            </w: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23"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69" w:hRule="atLeast"/>
        </w:trPr>
        <w:tc>
          <w:tcPr>
            <w:tcW w:w="568" w:type="dxa"/>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Arial Unicode MS" w:hAnsi="Arial Unicode MS" w:eastAsia="Arial Unicode MS" w:cs="Arial Unicode MS"/>
                <w:i w:val="0"/>
                <w:color w:val="000000"/>
                <w:sz w:val="20"/>
                <w:szCs w:val="20"/>
                <w:u w:val="none"/>
              </w:rPr>
            </w:pPr>
            <w:r>
              <w:rPr>
                <w:rFonts w:hint="default" w:ascii="Arial Unicode MS" w:hAnsi="Arial Unicode MS" w:eastAsia="Arial Unicode MS" w:cs="Arial Unicode MS"/>
                <w:i w:val="0"/>
                <w:color w:val="000000"/>
                <w:kern w:val="0"/>
                <w:sz w:val="20"/>
                <w:szCs w:val="20"/>
                <w:u w:val="none"/>
                <w:lang w:val="en-US" w:eastAsia="zh-CN" w:bidi="ar"/>
              </w:rPr>
              <w:t>3</w:t>
            </w: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Arial Unicode MS" w:hAnsi="Arial Unicode MS" w:eastAsia="Arial Unicode MS" w:cs="Arial Unicode MS"/>
                <w:i w:val="0"/>
                <w:color w:val="000000"/>
                <w:sz w:val="20"/>
                <w:szCs w:val="20"/>
                <w:u w:val="none"/>
              </w:rPr>
            </w:pPr>
          </w:p>
        </w:tc>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Arial Unicode MS" w:hAnsi="Arial Unicode MS" w:eastAsia="Arial Unicode MS" w:cs="Arial Unicode MS"/>
                <w:i w:val="0"/>
                <w:color w:val="000000"/>
                <w:sz w:val="20"/>
                <w:szCs w:val="20"/>
                <w:u w:val="none"/>
              </w:rPr>
            </w:pP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123"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r>
      <w:tr>
        <w:tblPrEx>
          <w:tblLayout w:type="fixed"/>
          <w:tblCellMar>
            <w:top w:w="0" w:type="dxa"/>
            <w:left w:w="0" w:type="dxa"/>
            <w:bottom w:w="0" w:type="dxa"/>
            <w:right w:w="0" w:type="dxa"/>
          </w:tblCellMar>
        </w:tblPrEx>
        <w:trPr>
          <w:trHeight w:val="569" w:hRule="atLeast"/>
        </w:trPr>
        <w:tc>
          <w:tcPr>
            <w:tcW w:w="2935" w:type="dxa"/>
            <w:gridSpan w:val="3"/>
            <w:tcBorders>
              <w:top w:val="single" w:color="000000" w:sz="4"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Arial Unicode MS" w:hAnsi="Arial Unicode MS" w:eastAsia="Arial Unicode MS" w:cs="Arial Unicode MS"/>
                <w:i w:val="0"/>
                <w:color w:val="000000"/>
                <w:sz w:val="24"/>
                <w:szCs w:val="24"/>
                <w:u w:val="none"/>
              </w:rPr>
            </w:pPr>
            <w:r>
              <w:rPr>
                <w:rFonts w:hint="default" w:ascii="Arial Unicode MS" w:hAnsi="Arial Unicode MS" w:eastAsia="Arial Unicode MS" w:cs="Arial Unicode MS"/>
                <w:i w:val="0"/>
                <w:color w:val="000000"/>
                <w:kern w:val="0"/>
                <w:sz w:val="24"/>
                <w:szCs w:val="24"/>
                <w:u w:val="none"/>
                <w:lang w:val="en-US" w:eastAsia="zh-CN" w:bidi="ar"/>
              </w:rPr>
              <w:t>合计得分</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123"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r>
      <w:tr>
        <w:tblPrEx>
          <w:tblLayout w:type="fixed"/>
          <w:tblCellMar>
            <w:top w:w="0" w:type="dxa"/>
            <w:left w:w="0" w:type="dxa"/>
            <w:bottom w:w="0" w:type="dxa"/>
            <w:right w:w="0" w:type="dxa"/>
          </w:tblCellMar>
        </w:tblPrEx>
        <w:trPr>
          <w:trHeight w:val="1032" w:hRule="atLeast"/>
        </w:trPr>
        <w:tc>
          <w:tcPr>
            <w:tcW w:w="2935" w:type="dxa"/>
            <w:gridSpan w:val="3"/>
            <w:tcBorders>
              <w:top w:val="single" w:color="000000" w:sz="4" w:space="0"/>
              <w:left w:val="single" w:color="000000" w:sz="8"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平均得分 = 合计得分/3</w:t>
            </w:r>
          </w:p>
        </w:tc>
        <w:tc>
          <w:tcPr>
            <w:tcW w:w="1042"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951"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905"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019"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067"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054"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033"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031"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927"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033"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4"/>
                <w:szCs w:val="24"/>
                <w:u w:val="none"/>
              </w:rPr>
            </w:pPr>
          </w:p>
        </w:tc>
        <w:tc>
          <w:tcPr>
            <w:tcW w:w="1123" w:type="dxa"/>
            <w:tcBorders>
              <w:top w:val="single" w:color="000000" w:sz="4" w:space="0"/>
              <w:left w:val="single" w:color="000000" w:sz="4" w:space="0"/>
              <w:bottom w:val="nil"/>
              <w:right w:val="single" w:color="000000" w:sz="8"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（注：本表最终得分）</w:t>
            </w:r>
          </w:p>
        </w:tc>
      </w:tr>
      <w:tr>
        <w:tblPrEx>
          <w:tblLayout w:type="fixed"/>
          <w:tblCellMar>
            <w:top w:w="0" w:type="dxa"/>
            <w:left w:w="0" w:type="dxa"/>
            <w:bottom w:w="0" w:type="dxa"/>
            <w:right w:w="0" w:type="dxa"/>
          </w:tblCellMar>
        </w:tblPrEx>
        <w:trPr>
          <w:trHeight w:val="981" w:hRule="atLeast"/>
        </w:trPr>
        <w:tc>
          <w:tcPr>
            <w:tcW w:w="293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企业信用社会评价意见</w:t>
            </w:r>
          </w:p>
        </w:tc>
        <w:tc>
          <w:tcPr>
            <w:tcW w:w="11185"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1、被评价企业的三个项目经业主单位评价结果是合计得分_________,                                                               2、本表最终得分与附件1中3.1“社会评价”项分值限额3分进行折算计分，被评价企业社会评价得分为__________，计入附件1中3.1“社会评价”项。</w:t>
            </w:r>
          </w:p>
        </w:tc>
      </w:tr>
    </w:tbl>
    <w:p>
      <w:pPr>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备注：</w:t>
      </w:r>
    </w:p>
    <w:p>
      <w:pPr>
        <w:numPr>
          <w:ilvl w:val="0"/>
          <w:numId w:val="3"/>
        </w:numPr>
        <w:rPr>
          <w:rFonts w:hint="default" w:asciiTheme="minorEastAsia" w:hAnsiTheme="minorEastAsia" w:eastAsiaTheme="minorEastAsia" w:cstheme="minorEastAsia"/>
          <w:sz w:val="21"/>
          <w:szCs w:val="21"/>
          <w:lang w:val="en-US" w:eastAsia="zh-CN"/>
        </w:rPr>
      </w:pPr>
      <w:r>
        <w:rPr>
          <w:rFonts w:hint="default" w:asciiTheme="minorEastAsia" w:hAnsiTheme="minorEastAsia" w:eastAsiaTheme="minorEastAsia" w:cstheme="minorEastAsia"/>
          <w:sz w:val="21"/>
          <w:szCs w:val="21"/>
          <w:lang w:val="en-US" w:eastAsia="zh-CN"/>
        </w:rPr>
        <w:t>省级评价机构随机抽取三个1000万元以上项目，至少两个政府项目，且至少两个结算审核项目进行客户评价调查</w:t>
      </w:r>
      <w:r>
        <w:rPr>
          <w:rFonts w:hint="eastAsia" w:asciiTheme="minorEastAsia" w:hAnsiTheme="minorEastAsia" w:eastAsiaTheme="minorEastAsia" w:cstheme="minorEastAsia"/>
          <w:sz w:val="21"/>
          <w:szCs w:val="21"/>
          <w:lang w:val="en-US" w:eastAsia="zh-CN"/>
        </w:rPr>
        <w:t>；</w:t>
      </w:r>
    </w:p>
    <w:p>
      <w:pPr>
        <w:numPr>
          <w:ilvl w:val="0"/>
          <w:numId w:val="3"/>
        </w:numPr>
        <w:rPr>
          <w:rFonts w:hint="default" w:asciiTheme="minorEastAsia" w:hAnsiTheme="minorEastAsia" w:eastAsiaTheme="minorEastAsia" w:cstheme="minorEastAsia"/>
          <w:sz w:val="21"/>
          <w:szCs w:val="21"/>
          <w:lang w:val="en-US" w:eastAsia="zh-CN"/>
        </w:rPr>
      </w:pPr>
      <w:r>
        <w:rPr>
          <w:rFonts w:hint="default" w:asciiTheme="minorEastAsia" w:hAnsiTheme="minorEastAsia" w:eastAsiaTheme="minorEastAsia" w:cstheme="minorEastAsia"/>
          <w:sz w:val="21"/>
          <w:szCs w:val="21"/>
          <w:lang w:val="en-US" w:eastAsia="zh-CN"/>
        </w:rPr>
        <w:t>本表适用企业（法人），也使用企业的分支机构。</w:t>
      </w:r>
    </w:p>
    <w:tbl>
      <w:tblPr>
        <w:tblStyle w:val="6"/>
        <w:tblpPr w:leftFromText="180" w:rightFromText="180" w:vertAnchor="text" w:horzAnchor="page" w:tblpX="1446" w:tblpY="183"/>
        <w:tblOverlap w:val="never"/>
        <w:tblW w:w="14120" w:type="dxa"/>
        <w:tblInd w:w="0" w:type="dxa"/>
        <w:shd w:val="clear" w:color="auto" w:fill="auto"/>
        <w:tblLayout w:type="fixed"/>
        <w:tblCellMar>
          <w:top w:w="0" w:type="dxa"/>
          <w:left w:w="0" w:type="dxa"/>
          <w:bottom w:w="0" w:type="dxa"/>
          <w:right w:w="0" w:type="dxa"/>
        </w:tblCellMar>
      </w:tblPr>
      <w:tblGrid>
        <w:gridCol w:w="997"/>
        <w:gridCol w:w="831"/>
        <w:gridCol w:w="1164"/>
        <w:gridCol w:w="3092"/>
        <w:gridCol w:w="865"/>
        <w:gridCol w:w="643"/>
        <w:gridCol w:w="644"/>
        <w:gridCol w:w="543"/>
        <w:gridCol w:w="498"/>
        <w:gridCol w:w="2571"/>
        <w:gridCol w:w="2272"/>
      </w:tblGrid>
      <w:tr>
        <w:tblPrEx>
          <w:tblLayout w:type="fixed"/>
          <w:tblCellMar>
            <w:top w:w="0" w:type="dxa"/>
            <w:left w:w="0" w:type="dxa"/>
            <w:bottom w:w="0" w:type="dxa"/>
            <w:right w:w="0" w:type="dxa"/>
          </w:tblCellMar>
        </w:tblPrEx>
        <w:trPr>
          <w:trHeight w:val="767" w:hRule="atLeast"/>
        </w:trPr>
        <w:tc>
          <w:tcPr>
            <w:tcW w:w="14120" w:type="dxa"/>
            <w:gridSpan w:val="11"/>
            <w:tcBorders>
              <w:top w:val="nil"/>
              <w:left w:val="nil"/>
              <w:bottom w:val="single" w:color="000000" w:sz="8"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32"/>
                <w:szCs w:val="32"/>
                <w:u w:val="none"/>
              </w:rPr>
            </w:pPr>
            <w:r>
              <w:rPr>
                <w:rFonts w:hint="eastAsia" w:ascii="宋体" w:hAnsi="宋体" w:eastAsia="宋体" w:cs="宋体"/>
                <w:b/>
                <w:i w:val="0"/>
                <w:color w:val="000000"/>
                <w:kern w:val="0"/>
                <w:sz w:val="32"/>
                <w:szCs w:val="32"/>
                <w:u w:val="none"/>
                <w:lang w:val="en-US" w:eastAsia="zh-CN" w:bidi="ar"/>
              </w:rPr>
              <w:t xml:space="preserve"> </w:t>
            </w:r>
            <w:r>
              <w:rPr>
                <w:rFonts w:hint="eastAsia" w:ascii="宋体" w:hAnsi="宋体" w:eastAsia="宋体" w:cs="宋体"/>
                <w:b/>
                <w:i w:val="0"/>
                <w:color w:val="000000"/>
                <w:kern w:val="0"/>
                <w:sz w:val="30"/>
                <w:szCs w:val="30"/>
                <w:u w:val="none"/>
                <w:lang w:val="en-US" w:eastAsia="zh-CN" w:bidi="ar"/>
              </w:rPr>
              <w:t>附</w:t>
            </w:r>
            <w:r>
              <w:rPr>
                <w:rFonts w:hint="eastAsia" w:cs="宋体"/>
                <w:b/>
                <w:i w:val="0"/>
                <w:color w:val="000000"/>
                <w:kern w:val="0"/>
                <w:sz w:val="30"/>
                <w:szCs w:val="30"/>
                <w:u w:val="none"/>
                <w:lang w:val="en-US" w:eastAsia="zh-CN" w:bidi="ar"/>
              </w:rPr>
              <w:t>表</w:t>
            </w:r>
            <w:r>
              <w:rPr>
                <w:rFonts w:hint="eastAsia" w:ascii="宋体" w:hAnsi="宋体" w:eastAsia="宋体" w:cs="宋体"/>
                <w:b/>
                <w:i w:val="0"/>
                <w:color w:val="000000"/>
                <w:kern w:val="0"/>
                <w:sz w:val="30"/>
                <w:szCs w:val="30"/>
                <w:u w:val="none"/>
                <w:lang w:val="en-US" w:eastAsia="zh-CN" w:bidi="ar"/>
              </w:rPr>
              <w:t xml:space="preserve">1.3.2：              </w:t>
            </w:r>
            <w:r>
              <w:rPr>
                <w:rFonts w:hint="eastAsia" w:cs="宋体"/>
                <w:b/>
                <w:i w:val="0"/>
                <w:color w:val="000000"/>
                <w:kern w:val="0"/>
                <w:sz w:val="30"/>
                <w:szCs w:val="30"/>
                <w:u w:val="none"/>
                <w:lang w:val="en-US" w:eastAsia="zh-CN" w:bidi="ar"/>
              </w:rPr>
              <w:t xml:space="preserve"> </w:t>
            </w:r>
            <w:r>
              <w:rPr>
                <w:rFonts w:hint="eastAsia" w:ascii="宋体" w:hAnsi="宋体" w:eastAsia="宋体" w:cs="宋体"/>
                <w:b/>
                <w:i w:val="0"/>
                <w:color w:val="000000"/>
                <w:kern w:val="0"/>
                <w:sz w:val="30"/>
                <w:szCs w:val="30"/>
                <w:u w:val="none"/>
                <w:lang w:val="en-US" w:eastAsia="zh-CN" w:bidi="ar"/>
              </w:rPr>
              <w:t>造价咨询企业业务流程管理评价参考用表</w:t>
            </w:r>
          </w:p>
        </w:tc>
      </w:tr>
      <w:tr>
        <w:tblPrEx>
          <w:tblLayout w:type="fixed"/>
          <w:tblCellMar>
            <w:top w:w="0" w:type="dxa"/>
            <w:left w:w="0" w:type="dxa"/>
            <w:bottom w:w="0" w:type="dxa"/>
            <w:right w:w="0" w:type="dxa"/>
          </w:tblCellMar>
        </w:tblPrEx>
        <w:trPr>
          <w:trHeight w:val="736" w:hRule="atLeast"/>
        </w:trPr>
        <w:tc>
          <w:tcPr>
            <w:tcW w:w="997" w:type="dxa"/>
            <w:tcBorders>
              <w:top w:val="single" w:color="000000" w:sz="8" w:space="0"/>
              <w:left w:val="single" w:color="000000" w:sz="8"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831"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1164"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三级指标(X)</w:t>
            </w:r>
          </w:p>
        </w:tc>
        <w:tc>
          <w:tcPr>
            <w:tcW w:w="3092"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评价标准</w:t>
            </w:r>
          </w:p>
        </w:tc>
        <w:tc>
          <w:tcPr>
            <w:tcW w:w="865"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计算公式</w:t>
            </w:r>
          </w:p>
        </w:tc>
        <w:tc>
          <w:tcPr>
            <w:tcW w:w="643"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得分</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限额</w:t>
            </w:r>
          </w:p>
        </w:tc>
        <w:tc>
          <w:tcPr>
            <w:tcW w:w="644"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得分</w:t>
            </w:r>
          </w:p>
        </w:tc>
        <w:tc>
          <w:tcPr>
            <w:tcW w:w="543"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扣分限额</w:t>
            </w:r>
          </w:p>
        </w:tc>
        <w:tc>
          <w:tcPr>
            <w:tcW w:w="498"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扣分</w:t>
            </w:r>
          </w:p>
        </w:tc>
        <w:tc>
          <w:tcPr>
            <w:tcW w:w="2571"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说明</w:t>
            </w:r>
          </w:p>
        </w:tc>
        <w:tc>
          <w:tcPr>
            <w:tcW w:w="2272" w:type="dxa"/>
            <w:tcBorders>
              <w:top w:val="single" w:color="000000" w:sz="8" w:space="0"/>
              <w:left w:val="single" w:color="000000" w:sz="4" w:space="0"/>
              <w:bottom w:val="single" w:color="000000" w:sz="4" w:space="0"/>
              <w:right w:val="single" w:color="000000" w:sz="8"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数据来源</w:t>
            </w:r>
          </w:p>
        </w:tc>
      </w:tr>
      <w:tr>
        <w:tblPrEx>
          <w:tblLayout w:type="fixed"/>
          <w:tblCellMar>
            <w:top w:w="0" w:type="dxa"/>
            <w:left w:w="0" w:type="dxa"/>
            <w:bottom w:w="0" w:type="dxa"/>
            <w:right w:w="0" w:type="dxa"/>
          </w:tblCellMar>
        </w:tblPrEx>
        <w:trPr>
          <w:trHeight w:val="1014" w:hRule="atLeast"/>
        </w:trPr>
        <w:tc>
          <w:tcPr>
            <w:tcW w:w="99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3.各地自主评分或自定义评分项</w:t>
            </w:r>
          </w:p>
        </w:tc>
        <w:tc>
          <w:tcPr>
            <w:tcW w:w="8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3.2</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成果质量</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3.2.1</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造价咨询业务流程管理</w:t>
            </w:r>
          </w:p>
        </w:tc>
        <w:tc>
          <w:tcPr>
            <w:tcW w:w="3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抽检项目有咨询方案或作业计划书，咨询方案内容完整、可行且有针对性的每个项目加0.5分</w:t>
            </w:r>
          </w:p>
        </w:tc>
        <w:tc>
          <w:tcPr>
            <w:tcW w:w="8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c>
          <w:tcPr>
            <w:tcW w:w="6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完整是指咨询范围、内容、方法、程序、人员安排、时间要求、质量要求等齐全</w:t>
            </w:r>
          </w:p>
        </w:tc>
        <w:tc>
          <w:tcPr>
            <w:tcW w:w="227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由省级评价机构随机抽取评价期内每年1个政府投资项目，原则上项目规模1000万元以上，项目类型包括土建、安装、装饰、市政等至少两种，咨询类型包括结算审核、工程量清单及招标控制价编制等。如全部项目都不满足上述条件，由抽取机构自行调整并作说明</w:t>
            </w:r>
          </w:p>
        </w:tc>
      </w:tr>
      <w:tr>
        <w:tblPrEx>
          <w:tblLayout w:type="fixed"/>
          <w:tblCellMar>
            <w:top w:w="0" w:type="dxa"/>
            <w:left w:w="0" w:type="dxa"/>
            <w:bottom w:w="0" w:type="dxa"/>
            <w:right w:w="0" w:type="dxa"/>
          </w:tblCellMar>
        </w:tblPrEx>
        <w:trPr>
          <w:trHeight w:val="1014" w:hRule="atLeast"/>
        </w:trPr>
        <w:tc>
          <w:tcPr>
            <w:tcW w:w="9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没有三级复核流程单每个项目扣3分，流程单上签章或日期不全、对应关系不正确的每处扣0.5分</w:t>
            </w:r>
          </w:p>
        </w:tc>
        <w:tc>
          <w:tcPr>
            <w:tcW w:w="8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4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“X”指填写详实的审核意见</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三级审核意见不详是指意见适用于所有项目，没有对本项目具体问题的针对性处理过程或方法</w:t>
            </w:r>
          </w:p>
        </w:tc>
        <w:tc>
          <w:tcPr>
            <w:tcW w:w="2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1478" w:hRule="atLeast"/>
        </w:trPr>
        <w:tc>
          <w:tcPr>
            <w:tcW w:w="9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流程单流于形式，三级审核意见不详细或没有针对性的每处减0.2分；项目负责人复核意见和技术负责人审核意见填写详实的，每处加0.25分。</w:t>
            </w:r>
          </w:p>
        </w:tc>
        <w:tc>
          <w:tcPr>
            <w:tcW w:w="8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0.25*X</w:t>
            </w:r>
          </w:p>
        </w:tc>
        <w:tc>
          <w:tcPr>
            <w:tcW w:w="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6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4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1478" w:hRule="atLeast"/>
        </w:trPr>
        <w:tc>
          <w:tcPr>
            <w:tcW w:w="9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三级复核的底稿齐全，问题处理有迹可循的，每个项目加0.5分</w:t>
            </w:r>
          </w:p>
        </w:tc>
        <w:tc>
          <w:tcPr>
            <w:tcW w:w="8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0.5*X</w:t>
            </w:r>
          </w:p>
        </w:tc>
        <w:tc>
          <w:tcPr>
            <w:tcW w:w="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c>
          <w:tcPr>
            <w:tcW w:w="6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需要计算的工程量有计算底稿、新增单价有组价过程、需要定价的材料有询价定价记录、重大问题处理有会审纪要等</w:t>
            </w:r>
          </w:p>
        </w:tc>
        <w:tc>
          <w:tcPr>
            <w:tcW w:w="2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19" w:hRule="atLeast"/>
        </w:trPr>
        <w:tc>
          <w:tcPr>
            <w:tcW w:w="694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合    计</w:t>
            </w:r>
          </w:p>
        </w:tc>
        <w:tc>
          <w:tcPr>
            <w:tcW w:w="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w:t>
            </w:r>
          </w:p>
        </w:tc>
        <w:tc>
          <w:tcPr>
            <w:tcW w:w="6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FF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w:t>
            </w:r>
          </w:p>
        </w:tc>
        <w:tc>
          <w:tcPr>
            <w:tcW w:w="4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b/>
                <w:i w:val="0"/>
                <w:color w:val="FF0000"/>
                <w:sz w:val="22"/>
                <w:szCs w:val="22"/>
                <w:u w:val="none"/>
              </w:rPr>
            </w:pPr>
          </w:p>
        </w:tc>
        <w:tc>
          <w:tcPr>
            <w:tcW w:w="2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bl>
    <w:p>
      <w:pPr>
        <w:bidi w:val="0"/>
        <w:jc w:val="left"/>
        <w:rPr>
          <w:rFonts w:hint="default" w:ascii="宋体" w:hAnsi="宋体" w:eastAsia="宋体" w:cs="宋体"/>
          <w:sz w:val="22"/>
          <w:szCs w:val="22"/>
          <w:lang w:val="en-US" w:eastAsia="zh-CN" w:bidi="zh-CN"/>
        </w:rPr>
      </w:pPr>
      <w:r>
        <w:rPr>
          <w:rFonts w:hint="default" w:ascii="宋体" w:hAnsi="宋体" w:eastAsia="宋体" w:cs="宋体"/>
          <w:sz w:val="22"/>
          <w:szCs w:val="22"/>
          <w:lang w:val="en-US" w:eastAsia="zh-CN" w:bidi="zh-CN"/>
        </w:rPr>
        <w:t>备注：</w:t>
      </w:r>
    </w:p>
    <w:p>
      <w:pPr>
        <w:numPr>
          <w:ilvl w:val="0"/>
          <w:numId w:val="4"/>
        </w:numPr>
        <w:bidi w:val="0"/>
        <w:jc w:val="left"/>
        <w:rPr>
          <w:rFonts w:hint="default" w:ascii="宋体" w:hAnsi="宋体" w:eastAsia="宋体" w:cs="宋体"/>
          <w:sz w:val="22"/>
          <w:szCs w:val="22"/>
          <w:lang w:val="en-US" w:eastAsia="zh-CN" w:bidi="zh-CN"/>
        </w:rPr>
      </w:pPr>
      <w:r>
        <w:rPr>
          <w:rFonts w:hint="default" w:ascii="宋体" w:hAnsi="宋体" w:eastAsia="宋体" w:cs="宋体"/>
          <w:sz w:val="22"/>
          <w:szCs w:val="22"/>
          <w:lang w:val="en-US" w:eastAsia="zh-CN" w:bidi="zh-CN"/>
        </w:rPr>
        <w:t>本表评份标准适用于企业信用评价造价咨询业务流程管理评价；</w:t>
      </w:r>
    </w:p>
    <w:p>
      <w:pPr>
        <w:widowControl w:val="0"/>
        <w:numPr>
          <w:ilvl w:val="0"/>
          <w:numId w:val="4"/>
        </w:numPr>
        <w:autoSpaceDE w:val="0"/>
        <w:autoSpaceDN w:val="0"/>
        <w:bidi w:val="0"/>
        <w:spacing w:before="0" w:after="0" w:line="240" w:lineRule="auto"/>
        <w:ind w:left="0" w:leftChars="0" w:right="0" w:rightChars="0" w:firstLine="0" w:firstLineChars="0"/>
        <w:jc w:val="left"/>
        <w:rPr>
          <w:rFonts w:hint="default" w:ascii="宋体" w:hAnsi="宋体" w:eastAsia="宋体" w:cs="宋体"/>
          <w:sz w:val="22"/>
          <w:szCs w:val="22"/>
          <w:lang w:val="en-US" w:eastAsia="zh-CN" w:bidi="zh-CN"/>
        </w:rPr>
      </w:pPr>
      <w:r>
        <w:rPr>
          <w:rFonts w:hint="default" w:ascii="宋体" w:hAnsi="宋体" w:eastAsia="宋体" w:cs="宋体"/>
          <w:sz w:val="22"/>
          <w:szCs w:val="22"/>
          <w:lang w:val="en-US" w:eastAsia="zh-CN" w:bidi="zh-CN"/>
        </w:rPr>
        <w:t>本表得分纳入附件1中3.2.1“造价咨询业务流程管理”项，与该项中的限额分值进行折算计分。</w:t>
      </w:r>
    </w:p>
    <w:p>
      <w:pPr>
        <w:widowControl w:val="0"/>
        <w:numPr>
          <w:ilvl w:val="0"/>
          <w:numId w:val="0"/>
        </w:numPr>
        <w:autoSpaceDE w:val="0"/>
        <w:autoSpaceDN w:val="0"/>
        <w:bidi w:val="0"/>
        <w:spacing w:before="0" w:after="0" w:line="240" w:lineRule="auto"/>
        <w:ind w:right="0" w:rightChars="0"/>
        <w:jc w:val="left"/>
        <w:rPr>
          <w:rFonts w:hint="default" w:ascii="宋体" w:hAnsi="宋体" w:eastAsia="宋体" w:cs="宋体"/>
          <w:sz w:val="22"/>
          <w:szCs w:val="22"/>
          <w:lang w:val="en-US" w:eastAsia="zh-CN" w:bidi="zh-CN"/>
        </w:rPr>
      </w:pPr>
    </w:p>
    <w:tbl>
      <w:tblPr>
        <w:tblStyle w:val="6"/>
        <w:tblpPr w:leftFromText="180" w:rightFromText="180" w:vertAnchor="text" w:horzAnchor="page" w:tblpX="1424" w:tblpY="55"/>
        <w:tblOverlap w:val="never"/>
        <w:tblW w:w="14180" w:type="dxa"/>
        <w:tblInd w:w="0" w:type="dxa"/>
        <w:shd w:val="clear" w:color="auto" w:fill="auto"/>
        <w:tblLayout w:type="fixed"/>
        <w:tblCellMar>
          <w:top w:w="0" w:type="dxa"/>
          <w:left w:w="0" w:type="dxa"/>
          <w:bottom w:w="0" w:type="dxa"/>
          <w:right w:w="0" w:type="dxa"/>
        </w:tblCellMar>
      </w:tblPr>
      <w:tblGrid>
        <w:gridCol w:w="920"/>
        <w:gridCol w:w="920"/>
        <w:gridCol w:w="1350"/>
        <w:gridCol w:w="4246"/>
        <w:gridCol w:w="569"/>
        <w:gridCol w:w="576"/>
        <w:gridCol w:w="569"/>
        <w:gridCol w:w="591"/>
        <w:gridCol w:w="581"/>
        <w:gridCol w:w="1708"/>
        <w:gridCol w:w="2150"/>
      </w:tblGrid>
      <w:tr>
        <w:tblPrEx>
          <w:shd w:val="clear" w:color="auto" w:fill="auto"/>
          <w:tblLayout w:type="fixed"/>
          <w:tblCellMar>
            <w:top w:w="0" w:type="dxa"/>
            <w:left w:w="0" w:type="dxa"/>
            <w:bottom w:w="0" w:type="dxa"/>
            <w:right w:w="0" w:type="dxa"/>
          </w:tblCellMar>
        </w:tblPrEx>
        <w:trPr>
          <w:trHeight w:val="90" w:hRule="atLeast"/>
        </w:trPr>
        <w:tc>
          <w:tcPr>
            <w:tcW w:w="14180" w:type="dxa"/>
            <w:gridSpan w:val="11"/>
            <w:tcBorders>
              <w:top w:val="nil"/>
              <w:left w:val="nil"/>
              <w:bottom w:val="single" w:color="000000" w:sz="8"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32"/>
                <w:szCs w:val="32"/>
                <w:u w:val="none"/>
              </w:rPr>
            </w:pPr>
            <w:r>
              <w:rPr>
                <w:rFonts w:hint="eastAsia" w:ascii="宋体" w:hAnsi="宋体" w:eastAsia="宋体" w:cs="宋体"/>
                <w:b/>
                <w:i w:val="0"/>
                <w:color w:val="000000"/>
                <w:kern w:val="0"/>
                <w:sz w:val="32"/>
                <w:szCs w:val="32"/>
                <w:u w:val="none"/>
                <w:lang w:val="en-US" w:eastAsia="zh-CN" w:bidi="ar"/>
              </w:rPr>
              <w:t xml:space="preserve"> </w:t>
            </w:r>
            <w:r>
              <w:rPr>
                <w:rFonts w:hint="eastAsia" w:ascii="宋体" w:hAnsi="宋体" w:eastAsia="宋体" w:cs="宋体"/>
                <w:b/>
                <w:i w:val="0"/>
                <w:color w:val="000000"/>
                <w:kern w:val="0"/>
                <w:sz w:val="30"/>
                <w:szCs w:val="30"/>
                <w:u w:val="none"/>
                <w:lang w:val="en-US" w:eastAsia="zh-CN" w:bidi="ar"/>
              </w:rPr>
              <w:t xml:space="preserve">附表1.3.3：           </w:t>
            </w:r>
            <w:r>
              <w:rPr>
                <w:rFonts w:hint="eastAsia" w:cs="宋体"/>
                <w:b/>
                <w:i w:val="0"/>
                <w:color w:val="000000"/>
                <w:kern w:val="0"/>
                <w:sz w:val="30"/>
                <w:szCs w:val="30"/>
                <w:u w:val="none"/>
                <w:lang w:val="en-US" w:eastAsia="zh-CN" w:bidi="ar"/>
              </w:rPr>
              <w:t xml:space="preserve"> </w:t>
            </w:r>
            <w:r>
              <w:rPr>
                <w:rFonts w:hint="eastAsia" w:ascii="宋体" w:hAnsi="宋体" w:eastAsia="宋体" w:cs="宋体"/>
                <w:b/>
                <w:i w:val="0"/>
                <w:color w:val="000000"/>
                <w:kern w:val="0"/>
                <w:sz w:val="30"/>
                <w:szCs w:val="30"/>
                <w:u w:val="none"/>
                <w:lang w:val="en-US" w:eastAsia="zh-CN" w:bidi="ar"/>
              </w:rPr>
              <w:t xml:space="preserve">  造价咨询企业咨询业务成果质量评价参考用表</w:t>
            </w:r>
          </w:p>
        </w:tc>
      </w:tr>
      <w:tr>
        <w:tblPrEx>
          <w:tblLayout w:type="fixed"/>
          <w:tblCellMar>
            <w:top w:w="0" w:type="dxa"/>
            <w:left w:w="0" w:type="dxa"/>
            <w:bottom w:w="0" w:type="dxa"/>
            <w:right w:w="0" w:type="dxa"/>
          </w:tblCellMar>
        </w:tblPrEx>
        <w:trPr>
          <w:trHeight w:val="680" w:hRule="atLeast"/>
        </w:trPr>
        <w:tc>
          <w:tcPr>
            <w:tcW w:w="920" w:type="dxa"/>
            <w:tcBorders>
              <w:top w:val="single" w:color="000000" w:sz="8" w:space="0"/>
              <w:left w:val="single" w:color="000000" w:sz="8"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920" w:type="dxa"/>
            <w:tcBorders>
              <w:top w:val="single" w:color="000000" w:sz="8"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1350"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三级指标(X)</w:t>
            </w:r>
          </w:p>
        </w:tc>
        <w:tc>
          <w:tcPr>
            <w:tcW w:w="4246"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评价标准</w:t>
            </w:r>
          </w:p>
        </w:tc>
        <w:tc>
          <w:tcPr>
            <w:tcW w:w="569"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计算公式</w:t>
            </w:r>
          </w:p>
        </w:tc>
        <w:tc>
          <w:tcPr>
            <w:tcW w:w="576"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得分限额</w:t>
            </w:r>
          </w:p>
        </w:tc>
        <w:tc>
          <w:tcPr>
            <w:tcW w:w="569"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得分</w:t>
            </w:r>
          </w:p>
        </w:tc>
        <w:tc>
          <w:tcPr>
            <w:tcW w:w="591"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扣分限额</w:t>
            </w:r>
          </w:p>
        </w:tc>
        <w:tc>
          <w:tcPr>
            <w:tcW w:w="581"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扣分</w:t>
            </w:r>
          </w:p>
        </w:tc>
        <w:tc>
          <w:tcPr>
            <w:tcW w:w="1708" w:type="dxa"/>
            <w:tcBorders>
              <w:top w:val="single" w:color="000000" w:sz="8"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说明</w:t>
            </w:r>
          </w:p>
        </w:tc>
        <w:tc>
          <w:tcPr>
            <w:tcW w:w="2150" w:type="dxa"/>
            <w:tcBorders>
              <w:top w:val="single" w:color="000000" w:sz="8" w:space="0"/>
              <w:left w:val="single" w:color="000000" w:sz="4" w:space="0"/>
              <w:bottom w:val="single" w:color="000000" w:sz="4" w:space="0"/>
              <w:right w:val="single" w:color="000000" w:sz="8"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评价内容和信息  数据来源</w:t>
            </w:r>
          </w:p>
        </w:tc>
      </w:tr>
      <w:tr>
        <w:tblPrEx>
          <w:tblLayout w:type="fixed"/>
          <w:tblCellMar>
            <w:top w:w="0" w:type="dxa"/>
            <w:left w:w="0" w:type="dxa"/>
            <w:bottom w:w="0" w:type="dxa"/>
            <w:right w:w="0" w:type="dxa"/>
          </w:tblCellMar>
        </w:tblPrEx>
        <w:trPr>
          <w:trHeight w:val="4924" w:hRule="atLeast"/>
        </w:trPr>
        <w:tc>
          <w:tcPr>
            <w:tcW w:w="920" w:type="dxa"/>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3.各地自主评分或自定义评分项</w:t>
            </w:r>
          </w:p>
        </w:tc>
        <w:tc>
          <w:tcPr>
            <w:tcW w:w="920" w:type="dxa"/>
            <w:vMerge w:val="restart"/>
            <w:tcBorders>
              <w:top w:val="single" w:color="auto" w:sz="4" w:space="0"/>
              <w:left w:val="single" w:color="000000"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3.2</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成果质量</w:t>
            </w:r>
          </w:p>
        </w:tc>
        <w:tc>
          <w:tcPr>
            <w:tcW w:w="1350" w:type="dxa"/>
            <w:vMerge w:val="restart"/>
            <w:tcBorders>
              <w:top w:val="single" w:color="000000" w:sz="4" w:space="0"/>
              <w:left w:val="single" w:color="auto" w:sz="4" w:space="0"/>
              <w:bottom w:val="single" w:color="000000" w:sz="8"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3.2.2</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造价咨询业务成果质量情况</w:t>
            </w:r>
          </w:p>
        </w:tc>
        <w:tc>
          <w:tcPr>
            <w:tcW w:w="42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咨询成果质量：                            计价程序或取费基数错误的，每处减1分；（2）应进行工程量计算而无工程量计算书的（工程量计算书为电子媒介附在咨询成果档案中视同提供，下同），每个单位工程减2分；有工程量计算书而不完整的，视不完整程度减0.5~1分；（3）定额套用或组价错误的，每处减0.2分；（4）管理费或利润计取错误的，每处减0.1分；（5）措施项目费计取错误或无依据的，每处减0.3分；（6）规费计取错误的，每处减0.3分；（7）税率错误的减0.3分（若是增值税计成营业税的每个项目减1分）；（8）咨询报告书、审定单、汇总表、成果内容封面、质量控制流程单等资料数据、日期对应关系错误，每一处减0.2分；（9）其它影响工程计价结果的错误，视影响程度减0.1～0.3分</w:t>
            </w:r>
          </w:p>
        </w:tc>
        <w:tc>
          <w:tcPr>
            <w:tcW w:w="5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w:t>
            </w:r>
          </w:p>
        </w:tc>
        <w:tc>
          <w:tcPr>
            <w:tcW w:w="58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vMerge w:val="restart"/>
            <w:tcBorders>
              <w:top w:val="single" w:color="000000" w:sz="4" w:space="0"/>
              <w:left w:val="single" w:color="000000" w:sz="4" w:space="0"/>
              <w:bottom w:val="single" w:color="000000" w:sz="4" w:space="0"/>
              <w:right w:val="single" w:color="000000" w:sz="8"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由省级评价机构随机抽取评价期内每年1个政府投资项目，原则上项目规模1000万元以上，项目类型包括土建、安装、装饰、市政等至少两种，咨询类型包括结算审核、工程量清单及招标控制价编制等。如全部项目都不满足上述条件，由抽取机构自行调整并作说明。</w:t>
            </w:r>
          </w:p>
        </w:tc>
      </w:tr>
      <w:tr>
        <w:tblPrEx>
          <w:tblLayout w:type="fixed"/>
          <w:tblCellMar>
            <w:top w:w="0" w:type="dxa"/>
            <w:left w:w="0" w:type="dxa"/>
            <w:bottom w:w="0" w:type="dxa"/>
            <w:right w:w="0" w:type="dxa"/>
          </w:tblCellMar>
        </w:tblPrEx>
        <w:trPr>
          <w:trHeight w:val="4304" w:hRule="atLeast"/>
        </w:trPr>
        <w:tc>
          <w:tcPr>
            <w:tcW w:w="920" w:type="dxa"/>
            <w:vMerge w:val="continue"/>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20" w:type="dxa"/>
            <w:vMerge w:val="continue"/>
            <w:tcBorders>
              <w:top w:val="single" w:color="auto" w:sz="4" w:space="0"/>
              <w:left w:val="single" w:color="000000"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50" w:type="dxa"/>
            <w:vMerge w:val="continue"/>
            <w:tcBorders>
              <w:top w:val="single" w:color="000000" w:sz="4" w:space="0"/>
              <w:left w:val="single" w:color="auto" w:sz="4" w:space="0"/>
              <w:bottom w:val="single" w:color="000000" w:sz="8"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预、结算审核：                               （1）计价方式与施工合同约定不符，每个单位工程减5分；（2）应让利而未让利或让利计取错误的每个单位工程减1分；（3）人工单价计取错误的每个单位工程减1分，人工费应调差而未调的，每个单位工程减2分，人工费调差错误的每个单位工程减1分；（4）材料价格计取错误的，每处减0.2分，材料应调差而未调的每个单位工程减2分，材差调整错误的，每项减0.2分；（5）结算中的甲供材、水电费的处理在咨询报告或审定单中未作说明的每项减0.3分；（6）施工合同中关于工期、质量等奖罚处理在报告中未作说明的每项减0.2分； </w:t>
            </w:r>
          </w:p>
        </w:tc>
        <w:tc>
          <w:tcPr>
            <w:tcW w:w="5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vMerge w:val="continue"/>
            <w:tcBorders>
              <w:top w:val="single" w:color="000000" w:sz="4" w:space="0"/>
              <w:left w:val="single" w:color="000000" w:sz="4" w:space="0"/>
              <w:bottom w:val="single" w:color="000000" w:sz="4" w:space="0"/>
              <w:right w:val="single" w:color="000000" w:sz="8"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3954" w:hRule="atLeast"/>
        </w:trPr>
        <w:tc>
          <w:tcPr>
            <w:tcW w:w="920" w:type="dxa"/>
            <w:vMerge w:val="continue"/>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20" w:type="dxa"/>
            <w:vMerge w:val="continue"/>
            <w:tcBorders>
              <w:top w:val="single" w:color="auto" w:sz="4" w:space="0"/>
              <w:left w:val="single" w:color="000000"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50" w:type="dxa"/>
            <w:vMerge w:val="continue"/>
            <w:tcBorders>
              <w:top w:val="single" w:color="000000" w:sz="4" w:space="0"/>
              <w:left w:val="single" w:color="auto" w:sz="4" w:space="0"/>
              <w:bottom w:val="single" w:color="000000" w:sz="8"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抽检的工程量清单或招标控制价编制项目：</w:t>
            </w:r>
          </w:p>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未按招标文件要求编制的减1分；（2）无编制说明的减0.5分，编制说明描写不详细的减0.2分；（3）清单中有违反计价规范条款的，每处减0.2分；（4）项目特征未按规范要求详细描述的每项减0.1分；（5）工程量清单项目、计价定额子目套用错误的每项减0.2分；（6）招标控制价中措施项目费应计而未计的，每处减0.2分，计取不合理的，每处减0.1分</w:t>
            </w:r>
          </w:p>
        </w:tc>
        <w:tc>
          <w:tcPr>
            <w:tcW w:w="5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vMerge w:val="continue"/>
            <w:tcBorders>
              <w:top w:val="single" w:color="000000" w:sz="4" w:space="0"/>
              <w:left w:val="single" w:color="000000" w:sz="4" w:space="0"/>
              <w:bottom w:val="single" w:color="000000" w:sz="4" w:space="0"/>
              <w:right w:val="single" w:color="000000" w:sz="8"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1392" w:hRule="atLeast"/>
        </w:trPr>
        <w:tc>
          <w:tcPr>
            <w:tcW w:w="920" w:type="dxa"/>
            <w:vMerge w:val="continue"/>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20" w:type="dxa"/>
            <w:vMerge w:val="continue"/>
            <w:tcBorders>
              <w:top w:val="single" w:color="auto" w:sz="4" w:space="0"/>
              <w:left w:val="single" w:color="000000"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50" w:type="dxa"/>
            <w:vMerge w:val="continue"/>
            <w:tcBorders>
              <w:top w:val="single" w:color="000000" w:sz="4" w:space="0"/>
              <w:left w:val="single" w:color="auto" w:sz="4" w:space="0"/>
              <w:bottom w:val="single" w:color="000000" w:sz="8"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 xml:space="preserve">报告书要件齐全：                         </w:t>
            </w:r>
          </w:p>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报告书封面、扉页、目录、正文、审定单、成果文件必备的内容每缺一项扣0.25分</w:t>
            </w:r>
          </w:p>
        </w:tc>
        <w:tc>
          <w:tcPr>
            <w:tcW w:w="5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58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果文件内容指预结算书的封面、项目费汇总表、单项工程费汇总表、单位工程费汇总表、工程量清单计价表（预结算表）、措施项目清单计价表及明细表、其它项目清单计价表、规费与税金计价表、甲供材明细表、甲供材超欠供表（如造价中反映）、水电费明细表（如造价中需要）、其它费用包括奖罚费用等造价中包含费用的明细表</w:t>
            </w:r>
          </w:p>
        </w:tc>
        <w:tc>
          <w:tcPr>
            <w:tcW w:w="2150" w:type="dxa"/>
            <w:vMerge w:val="continue"/>
            <w:tcBorders>
              <w:top w:val="single" w:color="000000" w:sz="4" w:space="0"/>
              <w:left w:val="single" w:color="000000" w:sz="4" w:space="0"/>
              <w:bottom w:val="single" w:color="000000" w:sz="4" w:space="0"/>
              <w:right w:val="single" w:color="000000" w:sz="8"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450" w:hRule="atLeast"/>
        </w:trPr>
        <w:tc>
          <w:tcPr>
            <w:tcW w:w="920" w:type="dxa"/>
            <w:vMerge w:val="continue"/>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20" w:type="dxa"/>
            <w:vMerge w:val="continue"/>
            <w:tcBorders>
              <w:top w:val="single" w:color="auto" w:sz="4" w:space="0"/>
              <w:left w:val="single" w:color="000000"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50" w:type="dxa"/>
            <w:vMerge w:val="continue"/>
            <w:tcBorders>
              <w:top w:val="single" w:color="000000" w:sz="4" w:space="0"/>
              <w:left w:val="single" w:color="auto" w:sz="4" w:space="0"/>
              <w:bottom w:val="single" w:color="000000" w:sz="8"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 xml:space="preserve">报告书内容准确、完整、规范：              </w:t>
            </w:r>
          </w:p>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咨询报告书中工程概况、审核范围、审核依据、送审工程结算金额、审定金额、核减（增）金额及其主要原因、应披露的重大事项未表述齐全的，每缺一项减0.2分；</w:t>
            </w:r>
          </w:p>
        </w:tc>
        <w:tc>
          <w:tcPr>
            <w:tcW w:w="5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150" w:type="dxa"/>
            <w:vMerge w:val="continue"/>
            <w:tcBorders>
              <w:top w:val="single" w:color="000000" w:sz="4" w:space="0"/>
              <w:left w:val="single" w:color="000000" w:sz="4" w:space="0"/>
              <w:bottom w:val="single" w:color="000000" w:sz="4" w:space="0"/>
              <w:right w:val="single" w:color="000000" w:sz="8"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2510" w:hRule="atLeast"/>
        </w:trPr>
        <w:tc>
          <w:tcPr>
            <w:tcW w:w="920" w:type="dxa"/>
            <w:vMerge w:val="continue"/>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20" w:type="dxa"/>
            <w:vMerge w:val="continue"/>
            <w:tcBorders>
              <w:top w:val="single" w:color="auto" w:sz="4" w:space="0"/>
              <w:left w:val="single" w:color="000000"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50" w:type="dxa"/>
            <w:vMerge w:val="continue"/>
            <w:tcBorders>
              <w:top w:val="single" w:color="000000" w:sz="4" w:space="0"/>
              <w:left w:val="single" w:color="auto" w:sz="4" w:space="0"/>
              <w:bottom w:val="single" w:color="000000" w:sz="8"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 xml:space="preserve">报告书签章齐全正确：                    </w:t>
            </w:r>
          </w:p>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（1）报告书扉页未盖企业执业专用章，每个项目扣0.25分；</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（2）报告书落款必须有项目负责人签字、盖执业资格章，单位盖公章，每缺1项扣0.2分；</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（3）工程结算审定单必须有各方盖章和咨询单位项目负责人签字盖章及签发人签字，每缺一项减0.2分。             </w:t>
            </w:r>
          </w:p>
        </w:tc>
        <w:tc>
          <w:tcPr>
            <w:tcW w:w="5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预结算书封面是否签章根据各省规定考评</w:t>
            </w:r>
          </w:p>
        </w:tc>
        <w:tc>
          <w:tcPr>
            <w:tcW w:w="2150" w:type="dxa"/>
            <w:vMerge w:val="continue"/>
            <w:tcBorders>
              <w:top w:val="single" w:color="000000" w:sz="4" w:space="0"/>
              <w:left w:val="single" w:color="000000" w:sz="4" w:space="0"/>
              <w:bottom w:val="single" w:color="000000" w:sz="4" w:space="0"/>
              <w:right w:val="single" w:color="000000" w:sz="8"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1319" w:hRule="atLeast"/>
        </w:trPr>
        <w:tc>
          <w:tcPr>
            <w:tcW w:w="920" w:type="dxa"/>
            <w:vMerge w:val="continue"/>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20" w:type="dxa"/>
            <w:vMerge w:val="continue"/>
            <w:tcBorders>
              <w:top w:val="single" w:color="auto" w:sz="4" w:space="0"/>
              <w:left w:val="single" w:color="000000"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50" w:type="dxa"/>
            <w:vMerge w:val="continue"/>
            <w:tcBorders>
              <w:top w:val="single" w:color="000000" w:sz="4" w:space="0"/>
              <w:left w:val="single" w:color="auto" w:sz="4" w:space="0"/>
              <w:bottom w:val="single" w:color="000000" w:sz="8"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 xml:space="preserve">档案的完整性：                          </w:t>
            </w:r>
          </w:p>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档案内容包括咨询成果文件、底稿、咨询依据文件、流程文件、备考表、成果文件电子档等，每缺一项扣0.25分。</w:t>
            </w:r>
          </w:p>
        </w:tc>
        <w:tc>
          <w:tcPr>
            <w:tcW w:w="569"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76"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69"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91"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581"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档案内容、归档顺序、装订、签字要求等按《工程造价咨询业务操作指导规程》等文件规定；</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成果文件档案内容不齐全按项扣分;</w:t>
            </w:r>
          </w:p>
        </w:tc>
        <w:tc>
          <w:tcPr>
            <w:tcW w:w="2150" w:type="dxa"/>
            <w:vMerge w:val="restart"/>
            <w:tcBorders>
              <w:top w:val="single" w:color="000000" w:sz="4" w:space="0"/>
              <w:left w:val="single" w:color="000000" w:sz="4" w:space="0"/>
              <w:bottom w:val="single" w:color="000000" w:sz="4" w:space="0"/>
              <w:right w:val="single" w:color="000000" w:sz="8"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1272" w:hRule="atLeast"/>
        </w:trPr>
        <w:tc>
          <w:tcPr>
            <w:tcW w:w="920" w:type="dxa"/>
            <w:vMerge w:val="continue"/>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20" w:type="dxa"/>
            <w:vMerge w:val="continue"/>
            <w:tcBorders>
              <w:top w:val="single" w:color="auto" w:sz="4" w:space="0"/>
              <w:left w:val="single" w:color="000000"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50" w:type="dxa"/>
            <w:vMerge w:val="continue"/>
            <w:tcBorders>
              <w:top w:val="single" w:color="000000" w:sz="4" w:space="0"/>
              <w:left w:val="single" w:color="auto" w:sz="4" w:space="0"/>
              <w:bottom w:val="single" w:color="000000" w:sz="8"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 xml:space="preserve">档案的规范性：                          </w:t>
            </w:r>
          </w:p>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档案文件规范、装订顺序符合要求、签章齐全，不符合要求的每处扣0.2分</w:t>
            </w:r>
          </w:p>
        </w:tc>
        <w:tc>
          <w:tcPr>
            <w:tcW w:w="56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7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6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9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8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150" w:type="dxa"/>
            <w:vMerge w:val="continue"/>
            <w:tcBorders>
              <w:top w:val="single" w:color="000000" w:sz="4" w:space="0"/>
              <w:left w:val="single" w:color="000000" w:sz="4" w:space="0"/>
              <w:bottom w:val="single" w:color="000000" w:sz="4" w:space="0"/>
              <w:right w:val="single" w:color="000000" w:sz="8"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1196" w:hRule="atLeast"/>
        </w:trPr>
        <w:tc>
          <w:tcPr>
            <w:tcW w:w="920" w:type="dxa"/>
            <w:vMerge w:val="continue"/>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20" w:type="dxa"/>
            <w:vMerge w:val="continue"/>
            <w:tcBorders>
              <w:top w:val="single" w:color="auto" w:sz="4" w:space="0"/>
              <w:left w:val="single" w:color="000000"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50" w:type="dxa"/>
            <w:vMerge w:val="continue"/>
            <w:tcBorders>
              <w:top w:val="single" w:color="000000" w:sz="4" w:space="0"/>
              <w:left w:val="single" w:color="auto" w:sz="4" w:space="0"/>
              <w:bottom w:val="single" w:color="000000" w:sz="8"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4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 xml:space="preserve">归档的及时性：                           </w:t>
            </w:r>
          </w:p>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应当在规定的期限内归档完毕，超过规定期限每项目扣0.5分</w:t>
            </w:r>
          </w:p>
        </w:tc>
        <w:tc>
          <w:tcPr>
            <w:tcW w:w="56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7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6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9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8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8"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根据各省规定执行，无规定的按咨询成果报告出具后40天内</w:t>
            </w:r>
          </w:p>
        </w:tc>
        <w:tc>
          <w:tcPr>
            <w:tcW w:w="2150" w:type="dxa"/>
            <w:vMerge w:val="continue"/>
            <w:tcBorders>
              <w:top w:val="single" w:color="000000" w:sz="4" w:space="0"/>
              <w:left w:val="single" w:color="000000" w:sz="4" w:space="0"/>
              <w:bottom w:val="single" w:color="000000" w:sz="4" w:space="0"/>
              <w:right w:val="single" w:color="000000" w:sz="8"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73" w:hRule="atLeast"/>
        </w:trPr>
        <w:tc>
          <w:tcPr>
            <w:tcW w:w="7436" w:type="dxa"/>
            <w:gridSpan w:val="4"/>
            <w:tcBorders>
              <w:top w:val="single" w:color="000000" w:sz="8" w:space="0"/>
              <w:left w:val="single" w:color="000000" w:sz="8" w:space="0"/>
              <w:bottom w:val="single" w:color="000000" w:sz="8"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合    计</w:t>
            </w:r>
          </w:p>
        </w:tc>
        <w:tc>
          <w:tcPr>
            <w:tcW w:w="569" w:type="dxa"/>
            <w:tcBorders>
              <w:top w:val="single" w:color="000000" w:sz="8" w:space="0"/>
              <w:left w:val="single" w:color="000000" w:sz="4" w:space="0"/>
              <w:bottom w:val="single" w:color="000000" w:sz="8"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76" w:type="dxa"/>
            <w:tcBorders>
              <w:top w:val="single" w:color="000000" w:sz="8" w:space="0"/>
              <w:left w:val="single" w:color="000000" w:sz="4" w:space="0"/>
              <w:bottom w:val="single" w:color="000000" w:sz="8"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FF0000"/>
                <w:sz w:val="40"/>
                <w:szCs w:val="40"/>
                <w:u w:val="none"/>
              </w:rPr>
            </w:pPr>
          </w:p>
        </w:tc>
        <w:tc>
          <w:tcPr>
            <w:tcW w:w="569" w:type="dxa"/>
            <w:tcBorders>
              <w:top w:val="single" w:color="000000" w:sz="8" w:space="0"/>
              <w:left w:val="single" w:color="000000" w:sz="4" w:space="0"/>
              <w:bottom w:val="single" w:color="000000" w:sz="8"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91" w:type="dxa"/>
            <w:tcBorders>
              <w:top w:val="single" w:color="000000" w:sz="8" w:space="0"/>
              <w:left w:val="single" w:color="000000" w:sz="4" w:space="0"/>
              <w:bottom w:val="single" w:color="000000" w:sz="8"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6</w:t>
            </w:r>
          </w:p>
        </w:tc>
        <w:tc>
          <w:tcPr>
            <w:tcW w:w="581" w:type="dxa"/>
            <w:tcBorders>
              <w:top w:val="single" w:color="000000" w:sz="8" w:space="0"/>
              <w:left w:val="single" w:color="000000" w:sz="4" w:space="0"/>
              <w:bottom w:val="single" w:color="000000" w:sz="8"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08" w:type="dxa"/>
            <w:tcBorders>
              <w:top w:val="single" w:color="000000" w:sz="8" w:space="0"/>
              <w:left w:val="single" w:color="000000" w:sz="4" w:space="0"/>
              <w:bottom w:val="single" w:color="000000" w:sz="8"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tcBorders>
              <w:top w:val="single" w:color="000000" w:sz="8" w:space="0"/>
              <w:left w:val="single" w:color="000000" w:sz="4" w:space="0"/>
              <w:bottom w:val="single" w:color="000000" w:sz="8" w:space="0"/>
              <w:right w:val="single" w:color="000000" w:sz="8"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bl>
    <w:p>
      <w:pPr>
        <w:widowControl w:val="0"/>
        <w:numPr>
          <w:ilvl w:val="0"/>
          <w:numId w:val="0"/>
        </w:numPr>
        <w:autoSpaceDE w:val="0"/>
        <w:autoSpaceDN w:val="0"/>
        <w:bidi w:val="0"/>
        <w:spacing w:before="0" w:after="0" w:line="240" w:lineRule="auto"/>
        <w:ind w:right="0" w:rightChars="0"/>
        <w:jc w:val="left"/>
        <w:rPr>
          <w:rFonts w:hint="default" w:ascii="宋体" w:hAnsi="宋体" w:eastAsia="宋体" w:cs="宋体"/>
          <w:sz w:val="22"/>
          <w:szCs w:val="22"/>
          <w:lang w:val="en-US" w:eastAsia="zh-CN" w:bidi="zh-CN"/>
        </w:rPr>
      </w:pPr>
      <w:r>
        <w:rPr>
          <w:rFonts w:hint="default" w:ascii="宋体" w:hAnsi="宋体" w:eastAsia="宋体" w:cs="宋体"/>
          <w:sz w:val="22"/>
          <w:szCs w:val="22"/>
          <w:lang w:val="en-US" w:eastAsia="zh-CN" w:bidi="zh-CN"/>
        </w:rPr>
        <w:t>备注：</w:t>
      </w:r>
    </w:p>
    <w:p>
      <w:pPr>
        <w:widowControl w:val="0"/>
        <w:numPr>
          <w:ilvl w:val="0"/>
          <w:numId w:val="5"/>
        </w:numPr>
        <w:autoSpaceDE w:val="0"/>
        <w:autoSpaceDN w:val="0"/>
        <w:bidi w:val="0"/>
        <w:spacing w:before="0" w:after="0" w:line="240" w:lineRule="auto"/>
        <w:ind w:right="0" w:rightChars="0"/>
        <w:jc w:val="left"/>
        <w:rPr>
          <w:rFonts w:hint="default" w:ascii="宋体" w:hAnsi="宋体" w:eastAsia="宋体" w:cs="宋体"/>
          <w:sz w:val="22"/>
          <w:szCs w:val="22"/>
          <w:lang w:val="en-US" w:eastAsia="zh-CN" w:bidi="zh-CN"/>
        </w:rPr>
      </w:pPr>
      <w:r>
        <w:rPr>
          <w:rFonts w:hint="default" w:ascii="宋体" w:hAnsi="宋体" w:eastAsia="宋体" w:cs="宋体"/>
          <w:sz w:val="22"/>
          <w:szCs w:val="22"/>
          <w:lang w:val="en-US" w:eastAsia="zh-CN" w:bidi="zh-CN"/>
        </w:rPr>
        <w:t>各地（省市自治区）自行制定评价办法或参考本表的评价办法</w:t>
      </w:r>
      <w:r>
        <w:rPr>
          <w:rFonts w:hint="eastAsia" w:cs="宋体"/>
          <w:sz w:val="22"/>
          <w:szCs w:val="22"/>
          <w:lang w:val="en-US" w:eastAsia="zh-CN" w:bidi="zh-CN"/>
        </w:rPr>
        <w:t>；</w:t>
      </w:r>
    </w:p>
    <w:p>
      <w:pPr>
        <w:widowControl w:val="0"/>
        <w:numPr>
          <w:ilvl w:val="0"/>
          <w:numId w:val="5"/>
        </w:numPr>
        <w:autoSpaceDE w:val="0"/>
        <w:autoSpaceDN w:val="0"/>
        <w:bidi w:val="0"/>
        <w:spacing w:before="0" w:after="0" w:line="240" w:lineRule="auto"/>
        <w:ind w:left="0" w:leftChars="0" w:right="0" w:rightChars="0" w:firstLine="0" w:firstLineChars="0"/>
        <w:jc w:val="left"/>
        <w:rPr>
          <w:rFonts w:hint="default" w:ascii="宋体" w:hAnsi="宋体" w:eastAsia="宋体" w:cs="宋体"/>
          <w:sz w:val="22"/>
          <w:szCs w:val="22"/>
          <w:lang w:val="en-US" w:eastAsia="zh-CN" w:bidi="zh-CN"/>
        </w:rPr>
      </w:pPr>
      <w:r>
        <w:rPr>
          <w:rFonts w:hint="default" w:ascii="宋体" w:hAnsi="宋体" w:eastAsia="宋体" w:cs="宋体"/>
          <w:sz w:val="22"/>
          <w:szCs w:val="22"/>
          <w:lang w:val="en-US" w:eastAsia="zh-CN" w:bidi="zh-CN"/>
        </w:rPr>
        <w:t>由各地（省市自治区）根据信用评价管理办法规定的自由裁量权，制定“自主评分项”评价办法和分值评定标准</w:t>
      </w:r>
      <w:r>
        <w:rPr>
          <w:rFonts w:hint="eastAsia" w:cs="宋体"/>
          <w:sz w:val="22"/>
          <w:szCs w:val="22"/>
          <w:lang w:val="en-US" w:eastAsia="zh-CN" w:bidi="zh-CN"/>
        </w:rPr>
        <w:t>；</w:t>
      </w:r>
    </w:p>
    <w:p>
      <w:pPr>
        <w:widowControl w:val="0"/>
        <w:numPr>
          <w:ilvl w:val="0"/>
          <w:numId w:val="0"/>
        </w:numPr>
        <w:autoSpaceDE w:val="0"/>
        <w:autoSpaceDN w:val="0"/>
        <w:bidi w:val="0"/>
        <w:spacing w:before="0" w:after="0" w:line="240" w:lineRule="auto"/>
        <w:ind w:leftChars="0" w:right="0" w:rightChars="0"/>
        <w:jc w:val="left"/>
        <w:rPr>
          <w:rFonts w:hint="default" w:ascii="宋体" w:hAnsi="宋体" w:eastAsia="宋体" w:cs="宋体"/>
          <w:sz w:val="22"/>
          <w:szCs w:val="22"/>
          <w:lang w:val="en-US" w:eastAsia="zh-CN" w:bidi="zh-CN"/>
        </w:rPr>
      </w:pPr>
      <w:r>
        <w:rPr>
          <w:rFonts w:hint="eastAsia" w:cs="宋体"/>
          <w:sz w:val="22"/>
          <w:szCs w:val="22"/>
          <w:lang w:val="en-US" w:eastAsia="zh-CN" w:bidi="zh-CN"/>
        </w:rPr>
        <w:t>3、</w:t>
      </w:r>
      <w:r>
        <w:rPr>
          <w:rFonts w:hint="default" w:ascii="宋体" w:hAnsi="宋体" w:eastAsia="宋体" w:cs="宋体"/>
          <w:sz w:val="22"/>
          <w:szCs w:val="22"/>
          <w:lang w:val="en-US" w:eastAsia="zh-CN" w:bidi="zh-CN"/>
        </w:rPr>
        <w:t>本附件评份标准适用于企业信用评价的造价咨询业务成果质量评价；</w:t>
      </w:r>
    </w:p>
    <w:p>
      <w:pPr>
        <w:widowControl w:val="0"/>
        <w:numPr>
          <w:ilvl w:val="0"/>
          <w:numId w:val="0"/>
        </w:numPr>
        <w:autoSpaceDE w:val="0"/>
        <w:autoSpaceDN w:val="0"/>
        <w:bidi w:val="0"/>
        <w:spacing w:before="0" w:after="0" w:line="240" w:lineRule="auto"/>
        <w:ind w:right="0" w:rightChars="0"/>
        <w:jc w:val="left"/>
        <w:rPr>
          <w:rFonts w:hint="default" w:ascii="宋体" w:hAnsi="宋体" w:eastAsia="宋体" w:cs="宋体"/>
          <w:sz w:val="22"/>
          <w:szCs w:val="22"/>
          <w:lang w:val="en-US" w:eastAsia="zh-CN" w:bidi="zh-CN"/>
        </w:rPr>
        <w:sectPr>
          <w:pgSz w:w="16838" w:h="11906" w:orient="landscape"/>
          <w:pgMar w:top="1417" w:right="1417" w:bottom="1417" w:left="1417" w:header="851" w:footer="992" w:gutter="0"/>
          <w:pgBorders>
            <w:top w:val="none" w:sz="0" w:space="0"/>
            <w:left w:val="none" w:sz="0" w:space="0"/>
            <w:bottom w:val="none" w:sz="0" w:space="0"/>
            <w:right w:val="none" w:sz="0" w:space="0"/>
          </w:pgBorders>
          <w:pgNumType w:fmt="decimal"/>
          <w:cols w:space="0" w:num="1"/>
          <w:rtlGutter w:val="0"/>
          <w:docGrid w:type="lines" w:linePitch="319" w:charSpace="0"/>
        </w:sectPr>
      </w:pPr>
      <w:r>
        <w:rPr>
          <w:rFonts w:hint="default" w:ascii="宋体" w:hAnsi="宋体" w:eastAsia="宋体" w:cs="宋体"/>
          <w:sz w:val="22"/>
          <w:szCs w:val="22"/>
          <w:lang w:val="en-US" w:eastAsia="zh-CN" w:bidi="zh-CN"/>
        </w:rPr>
        <w:t>4、本附件得分纳入附件1中3.2.2“造价咨询业务成果质量情况”项，与该项中的限额分值进行折算计分。</w:t>
      </w:r>
    </w:p>
    <w:p>
      <w:pPr>
        <w:keepNext w:val="0"/>
        <w:keepLines w:val="0"/>
        <w:pageBreakBefore w:val="0"/>
        <w:widowControl w:val="0"/>
        <w:numPr>
          <w:ilvl w:val="0"/>
          <w:numId w:val="0"/>
        </w:numPr>
        <w:kinsoku/>
        <w:wordWrap/>
        <w:overflowPunct/>
        <w:topLinePunct w:val="0"/>
        <w:autoSpaceDE w:val="0"/>
        <w:autoSpaceDN w:val="0"/>
        <w:bidi w:val="0"/>
        <w:adjustRightInd/>
        <w:snapToGrid/>
        <w:spacing w:before="163" w:beforeLines="50" w:line="360" w:lineRule="auto"/>
        <w:ind w:right="0" w:rightChars="0"/>
        <w:textAlignment w:val="auto"/>
        <w:rPr>
          <w:rFonts w:hint="eastAsia" w:asciiTheme="minorEastAsia" w:hAnsiTheme="minorEastAsia" w:eastAsiaTheme="minorEastAsia" w:cstheme="minorEastAsia"/>
          <w:b/>
          <w:i w:val="0"/>
          <w:color w:val="000000"/>
          <w:kern w:val="0"/>
          <w:sz w:val="28"/>
          <w:szCs w:val="28"/>
          <w:u w:val="none"/>
          <w:lang w:val="en-US" w:eastAsia="zh-CN" w:bidi="ar"/>
        </w:rPr>
      </w:pPr>
      <w:r>
        <w:rPr>
          <w:rFonts w:hint="eastAsia" w:asciiTheme="minorEastAsia" w:hAnsiTheme="minorEastAsia" w:eastAsiaTheme="minorEastAsia" w:cstheme="minorEastAsia"/>
          <w:b/>
          <w:i w:val="0"/>
          <w:color w:val="000000"/>
          <w:kern w:val="0"/>
          <w:sz w:val="28"/>
          <w:szCs w:val="28"/>
          <w:u w:val="none"/>
          <w:lang w:val="en-US" w:eastAsia="zh-CN" w:bidi="ar"/>
        </w:rPr>
        <w:t>附表2：  工程造价咨询企业营业收入及造价咨询业务收入评分表</w:t>
      </w:r>
    </w:p>
    <w:p>
      <w:pPr>
        <w:keepNext w:val="0"/>
        <w:keepLines w:val="0"/>
        <w:pageBreakBefore w:val="0"/>
        <w:widowControl w:val="0"/>
        <w:numPr>
          <w:ilvl w:val="0"/>
          <w:numId w:val="0"/>
        </w:numPr>
        <w:kinsoku/>
        <w:wordWrap/>
        <w:overflowPunct/>
        <w:topLinePunct w:val="0"/>
        <w:autoSpaceDE w:val="0"/>
        <w:autoSpaceDN w:val="0"/>
        <w:bidi w:val="0"/>
        <w:adjustRightInd/>
        <w:snapToGrid/>
        <w:spacing w:line="360" w:lineRule="auto"/>
        <w:ind w:left="525" w:leftChars="0" w:right="0" w:rightChars="0"/>
        <w:textAlignment w:val="auto"/>
        <w:rPr>
          <w:rFonts w:hint="eastAsia" w:asciiTheme="minorEastAsia" w:hAnsiTheme="minorEastAsia" w:eastAsiaTheme="minorEastAsia" w:cstheme="minorEastAsia"/>
          <w:b/>
          <w:i w:val="0"/>
          <w:color w:val="000000"/>
          <w:kern w:val="0"/>
          <w:sz w:val="13"/>
          <w:szCs w:val="13"/>
          <w:u w:val="none"/>
          <w:lang w:val="en-US" w:eastAsia="zh-CN" w:bidi="ar"/>
        </w:rPr>
      </w:pPr>
    </w:p>
    <w:tbl>
      <w:tblPr>
        <w:tblStyle w:val="6"/>
        <w:tblW w:w="8680" w:type="dxa"/>
        <w:tblInd w:w="82" w:type="dxa"/>
        <w:shd w:val="clear" w:color="auto" w:fill="auto"/>
        <w:tblLayout w:type="fixed"/>
        <w:tblCellMar>
          <w:top w:w="0" w:type="dxa"/>
          <w:left w:w="0" w:type="dxa"/>
          <w:bottom w:w="0" w:type="dxa"/>
          <w:right w:w="0" w:type="dxa"/>
        </w:tblCellMar>
      </w:tblPr>
      <w:tblGrid>
        <w:gridCol w:w="740"/>
        <w:gridCol w:w="3426"/>
        <w:gridCol w:w="1974"/>
        <w:gridCol w:w="1416"/>
        <w:gridCol w:w="1124"/>
      </w:tblGrid>
      <w:tr>
        <w:tblPrEx>
          <w:shd w:val="clear" w:color="auto" w:fill="auto"/>
          <w:tblLayout w:type="fixed"/>
          <w:tblCellMar>
            <w:top w:w="0" w:type="dxa"/>
            <w:left w:w="0" w:type="dxa"/>
            <w:bottom w:w="0" w:type="dxa"/>
            <w:right w:w="0" w:type="dxa"/>
          </w:tblCellMar>
        </w:tblPrEx>
        <w:trPr>
          <w:trHeight w:val="873" w:hRule="atLeast"/>
        </w:trPr>
        <w:tc>
          <w:tcPr>
            <w:tcW w:w="740" w:type="dxa"/>
            <w:tcBorders>
              <w:top w:val="single" w:color="000000" w:sz="8"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序号</w:t>
            </w:r>
          </w:p>
        </w:tc>
        <w:tc>
          <w:tcPr>
            <w:tcW w:w="3426" w:type="dxa"/>
            <w:tcBorders>
              <w:top w:val="single" w:color="000000" w:sz="8"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收入排名</w:t>
            </w:r>
          </w:p>
        </w:tc>
        <w:tc>
          <w:tcPr>
            <w:tcW w:w="1974" w:type="dxa"/>
            <w:tcBorders>
              <w:top w:val="single" w:color="000000" w:sz="8"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营业收入分值</w:t>
            </w:r>
          </w:p>
        </w:tc>
        <w:tc>
          <w:tcPr>
            <w:tcW w:w="1416" w:type="dxa"/>
            <w:tcBorders>
              <w:top w:val="single" w:color="000000" w:sz="8"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造价咨询收入分值</w:t>
            </w:r>
          </w:p>
        </w:tc>
        <w:tc>
          <w:tcPr>
            <w:tcW w:w="1124" w:type="dxa"/>
            <w:tcBorders>
              <w:top w:val="single" w:color="000000" w:sz="8" w:space="0"/>
              <w:left w:val="single" w:color="000000" w:sz="4" w:space="0"/>
              <w:bottom w:val="single" w:color="000000" w:sz="4" w:space="0"/>
              <w:right w:val="single" w:color="000000" w:sz="8"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备注</w:t>
            </w:r>
          </w:p>
        </w:tc>
      </w:tr>
      <w:tr>
        <w:tblPrEx>
          <w:tblLayout w:type="fixed"/>
          <w:tblCellMar>
            <w:top w:w="0" w:type="dxa"/>
            <w:left w:w="0" w:type="dxa"/>
            <w:bottom w:w="0" w:type="dxa"/>
            <w:right w:w="0" w:type="dxa"/>
          </w:tblCellMar>
        </w:tblPrEx>
        <w:trPr>
          <w:trHeight w:val="704" w:hRule="atLeast"/>
        </w:trPr>
        <w:tc>
          <w:tcPr>
            <w:tcW w:w="740"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4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Style w:val="20"/>
                <w:lang w:val="en-US" w:eastAsia="zh-CN" w:bidi="ar"/>
              </w:rPr>
              <w:t>前</w:t>
            </w:r>
            <w:r>
              <w:rPr>
                <w:rFonts w:ascii="Arial Narrow" w:hAnsi="Arial Narrow" w:eastAsia="Arial Narrow" w:cs="Arial Narrow"/>
                <w:i w:val="0"/>
                <w:color w:val="000000"/>
                <w:kern w:val="0"/>
                <w:sz w:val="22"/>
                <w:szCs w:val="22"/>
                <w:u w:val="none"/>
                <w:lang w:val="en-US" w:eastAsia="zh-CN" w:bidi="ar"/>
              </w:rPr>
              <w:t>30%</w:t>
            </w:r>
            <w:r>
              <w:rPr>
                <w:rStyle w:val="20"/>
                <w:lang w:val="en-US" w:eastAsia="zh-CN" w:bidi="ar"/>
              </w:rPr>
              <w:t>（含）</w:t>
            </w:r>
          </w:p>
        </w:tc>
        <w:tc>
          <w:tcPr>
            <w:tcW w:w="19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22"/>
                <w:szCs w:val="22"/>
                <w:u w:val="none"/>
              </w:rPr>
            </w:pPr>
            <w:r>
              <w:rPr>
                <w:rFonts w:hint="default" w:ascii="Arial Narrow" w:hAnsi="Arial Narrow" w:eastAsia="Arial Narrow" w:cs="Arial Narrow"/>
                <w:i w:val="0"/>
                <w:color w:val="000000"/>
                <w:kern w:val="0"/>
                <w:sz w:val="22"/>
                <w:szCs w:val="22"/>
                <w:u w:val="none"/>
                <w:lang w:val="en-US" w:eastAsia="zh-CN" w:bidi="ar"/>
              </w:rPr>
              <w:t>4</w:t>
            </w:r>
          </w:p>
        </w:tc>
        <w:tc>
          <w:tcPr>
            <w:tcW w:w="1416"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22"/>
                <w:szCs w:val="22"/>
                <w:u w:val="none"/>
              </w:rPr>
            </w:pPr>
            <w:r>
              <w:rPr>
                <w:rFonts w:hint="default" w:ascii="Arial Narrow" w:hAnsi="Arial Narrow" w:eastAsia="Arial Narrow" w:cs="Arial Narrow"/>
                <w:i w:val="0"/>
                <w:color w:val="000000"/>
                <w:kern w:val="0"/>
                <w:sz w:val="22"/>
                <w:szCs w:val="22"/>
                <w:u w:val="none"/>
                <w:lang w:val="en-US" w:eastAsia="zh-CN" w:bidi="ar"/>
              </w:rPr>
              <w:t>10</w:t>
            </w:r>
          </w:p>
        </w:tc>
        <w:tc>
          <w:tcPr>
            <w:tcW w:w="1124"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704" w:hRule="atLeast"/>
        </w:trPr>
        <w:tc>
          <w:tcPr>
            <w:tcW w:w="740"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34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Style w:val="20"/>
                <w:lang w:val="en-US" w:eastAsia="zh-CN" w:bidi="ar"/>
              </w:rPr>
              <w:t>前</w:t>
            </w:r>
            <w:r>
              <w:rPr>
                <w:rFonts w:ascii="Arial Narrow" w:hAnsi="Arial Narrow" w:eastAsia="Arial Narrow" w:cs="Arial Narrow"/>
                <w:i w:val="0"/>
                <w:color w:val="000000"/>
                <w:kern w:val="0"/>
                <w:sz w:val="22"/>
                <w:szCs w:val="22"/>
                <w:u w:val="none"/>
                <w:lang w:val="en-US" w:eastAsia="zh-CN" w:bidi="ar"/>
              </w:rPr>
              <w:t>30</w:t>
            </w:r>
            <w:r>
              <w:rPr>
                <w:rStyle w:val="20"/>
                <w:lang w:val="en-US" w:eastAsia="zh-CN" w:bidi="ar"/>
              </w:rPr>
              <w:t>（不含）</w:t>
            </w:r>
            <w:r>
              <w:rPr>
                <w:rFonts w:ascii="Arial Narrow" w:hAnsi="Arial Narrow" w:eastAsia="Arial Narrow" w:cs="Arial Narrow"/>
                <w:i w:val="0"/>
                <w:color w:val="000000"/>
                <w:kern w:val="0"/>
                <w:sz w:val="22"/>
                <w:szCs w:val="22"/>
                <w:u w:val="none"/>
                <w:lang w:val="en-US" w:eastAsia="zh-CN" w:bidi="ar"/>
              </w:rPr>
              <w:t xml:space="preserve"> ~ 40%</w:t>
            </w:r>
            <w:r>
              <w:rPr>
                <w:rStyle w:val="20"/>
                <w:lang w:val="en-US" w:eastAsia="zh-CN" w:bidi="ar"/>
              </w:rPr>
              <w:t>（含）</w:t>
            </w:r>
          </w:p>
        </w:tc>
        <w:tc>
          <w:tcPr>
            <w:tcW w:w="19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22"/>
                <w:szCs w:val="22"/>
                <w:u w:val="none"/>
              </w:rPr>
            </w:pPr>
            <w:r>
              <w:rPr>
                <w:rFonts w:hint="default" w:ascii="Arial Narrow" w:hAnsi="Arial Narrow" w:eastAsia="Arial Narrow" w:cs="Arial Narrow"/>
                <w:i w:val="0"/>
                <w:color w:val="000000"/>
                <w:kern w:val="0"/>
                <w:sz w:val="22"/>
                <w:szCs w:val="22"/>
                <w:u w:val="none"/>
                <w:lang w:val="en-US" w:eastAsia="zh-CN" w:bidi="ar"/>
              </w:rPr>
              <w:t>3.5</w:t>
            </w:r>
          </w:p>
        </w:tc>
        <w:tc>
          <w:tcPr>
            <w:tcW w:w="1416"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22"/>
                <w:szCs w:val="22"/>
                <w:u w:val="none"/>
              </w:rPr>
            </w:pPr>
            <w:r>
              <w:rPr>
                <w:rFonts w:hint="default" w:ascii="Arial Narrow" w:hAnsi="Arial Narrow" w:eastAsia="Arial Narrow" w:cs="Arial Narrow"/>
                <w:i w:val="0"/>
                <w:color w:val="000000"/>
                <w:kern w:val="0"/>
                <w:sz w:val="22"/>
                <w:szCs w:val="22"/>
                <w:u w:val="none"/>
                <w:lang w:val="en-US" w:eastAsia="zh-CN" w:bidi="ar"/>
              </w:rPr>
              <w:t>8</w:t>
            </w:r>
          </w:p>
        </w:tc>
        <w:tc>
          <w:tcPr>
            <w:tcW w:w="1124"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704" w:hRule="atLeast"/>
        </w:trPr>
        <w:tc>
          <w:tcPr>
            <w:tcW w:w="740"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34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Style w:val="20"/>
                <w:lang w:val="en-US" w:eastAsia="zh-CN" w:bidi="ar"/>
              </w:rPr>
              <w:t>前</w:t>
            </w:r>
            <w:r>
              <w:rPr>
                <w:rFonts w:ascii="Arial Narrow" w:hAnsi="Arial Narrow" w:eastAsia="Arial Narrow" w:cs="Arial Narrow"/>
                <w:i w:val="0"/>
                <w:color w:val="000000"/>
                <w:kern w:val="0"/>
                <w:sz w:val="22"/>
                <w:szCs w:val="22"/>
                <w:u w:val="none"/>
                <w:lang w:val="en-US" w:eastAsia="zh-CN" w:bidi="ar"/>
              </w:rPr>
              <w:t>40</w:t>
            </w:r>
            <w:r>
              <w:rPr>
                <w:rStyle w:val="20"/>
                <w:lang w:val="en-US" w:eastAsia="zh-CN" w:bidi="ar"/>
              </w:rPr>
              <w:t>（不含）</w:t>
            </w:r>
            <w:r>
              <w:rPr>
                <w:rFonts w:ascii="Arial Narrow" w:hAnsi="Arial Narrow" w:eastAsia="Arial Narrow" w:cs="Arial Narrow"/>
                <w:i w:val="0"/>
                <w:color w:val="000000"/>
                <w:kern w:val="0"/>
                <w:sz w:val="22"/>
                <w:szCs w:val="22"/>
                <w:u w:val="none"/>
                <w:lang w:val="en-US" w:eastAsia="zh-CN" w:bidi="ar"/>
              </w:rPr>
              <w:t xml:space="preserve"> ~ 50%</w:t>
            </w:r>
            <w:r>
              <w:rPr>
                <w:rStyle w:val="20"/>
                <w:lang w:val="en-US" w:eastAsia="zh-CN" w:bidi="ar"/>
              </w:rPr>
              <w:t>（含）</w:t>
            </w:r>
          </w:p>
        </w:tc>
        <w:tc>
          <w:tcPr>
            <w:tcW w:w="19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22"/>
                <w:szCs w:val="22"/>
                <w:u w:val="none"/>
              </w:rPr>
            </w:pPr>
            <w:r>
              <w:rPr>
                <w:rFonts w:hint="default" w:ascii="Arial Narrow" w:hAnsi="Arial Narrow" w:eastAsia="Arial Narrow" w:cs="Arial Narrow"/>
                <w:i w:val="0"/>
                <w:color w:val="000000"/>
                <w:kern w:val="0"/>
                <w:sz w:val="22"/>
                <w:szCs w:val="22"/>
                <w:u w:val="none"/>
                <w:lang w:val="en-US" w:eastAsia="zh-CN" w:bidi="ar"/>
              </w:rPr>
              <w:t>3</w:t>
            </w:r>
          </w:p>
        </w:tc>
        <w:tc>
          <w:tcPr>
            <w:tcW w:w="1416"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22"/>
                <w:szCs w:val="22"/>
                <w:u w:val="none"/>
              </w:rPr>
            </w:pPr>
            <w:r>
              <w:rPr>
                <w:rFonts w:hint="default" w:ascii="Arial Narrow" w:hAnsi="Arial Narrow" w:eastAsia="Arial Narrow" w:cs="Arial Narrow"/>
                <w:i w:val="0"/>
                <w:color w:val="000000"/>
                <w:kern w:val="0"/>
                <w:sz w:val="22"/>
                <w:szCs w:val="22"/>
                <w:u w:val="none"/>
                <w:lang w:val="en-US" w:eastAsia="zh-CN" w:bidi="ar"/>
              </w:rPr>
              <w:t>6</w:t>
            </w:r>
          </w:p>
        </w:tc>
        <w:tc>
          <w:tcPr>
            <w:tcW w:w="1124"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704" w:hRule="atLeast"/>
        </w:trPr>
        <w:tc>
          <w:tcPr>
            <w:tcW w:w="740"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34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Style w:val="20"/>
                <w:lang w:val="en-US" w:eastAsia="zh-CN" w:bidi="ar"/>
              </w:rPr>
              <w:t>前</w:t>
            </w:r>
            <w:r>
              <w:rPr>
                <w:rFonts w:ascii="Arial Narrow" w:hAnsi="Arial Narrow" w:eastAsia="Arial Narrow" w:cs="Arial Narrow"/>
                <w:i w:val="0"/>
                <w:color w:val="000000"/>
                <w:kern w:val="0"/>
                <w:sz w:val="22"/>
                <w:szCs w:val="22"/>
                <w:u w:val="none"/>
                <w:lang w:val="en-US" w:eastAsia="zh-CN" w:bidi="ar"/>
              </w:rPr>
              <w:t>50</w:t>
            </w:r>
            <w:r>
              <w:rPr>
                <w:rStyle w:val="20"/>
                <w:lang w:val="en-US" w:eastAsia="zh-CN" w:bidi="ar"/>
              </w:rPr>
              <w:t>（不含）</w:t>
            </w:r>
            <w:r>
              <w:rPr>
                <w:rFonts w:ascii="Arial Narrow" w:hAnsi="Arial Narrow" w:eastAsia="Arial Narrow" w:cs="Arial Narrow"/>
                <w:i w:val="0"/>
                <w:color w:val="000000"/>
                <w:kern w:val="0"/>
                <w:sz w:val="22"/>
                <w:szCs w:val="22"/>
                <w:u w:val="none"/>
                <w:lang w:val="en-US" w:eastAsia="zh-CN" w:bidi="ar"/>
              </w:rPr>
              <w:t xml:space="preserve"> ~ 60%</w:t>
            </w:r>
            <w:r>
              <w:rPr>
                <w:rStyle w:val="20"/>
                <w:lang w:val="en-US" w:eastAsia="zh-CN" w:bidi="ar"/>
              </w:rPr>
              <w:t>（含）</w:t>
            </w:r>
          </w:p>
        </w:tc>
        <w:tc>
          <w:tcPr>
            <w:tcW w:w="19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22"/>
                <w:szCs w:val="22"/>
                <w:u w:val="none"/>
              </w:rPr>
            </w:pPr>
            <w:r>
              <w:rPr>
                <w:rFonts w:hint="default" w:ascii="Arial Narrow" w:hAnsi="Arial Narrow" w:eastAsia="Arial Narrow" w:cs="Arial Narrow"/>
                <w:i w:val="0"/>
                <w:color w:val="000000"/>
                <w:kern w:val="0"/>
                <w:sz w:val="22"/>
                <w:szCs w:val="22"/>
                <w:u w:val="none"/>
                <w:lang w:val="en-US" w:eastAsia="zh-CN" w:bidi="ar"/>
              </w:rPr>
              <w:t>2.5</w:t>
            </w:r>
          </w:p>
        </w:tc>
        <w:tc>
          <w:tcPr>
            <w:tcW w:w="1416"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22"/>
                <w:szCs w:val="22"/>
                <w:u w:val="none"/>
              </w:rPr>
            </w:pPr>
            <w:r>
              <w:rPr>
                <w:rFonts w:hint="default" w:ascii="Arial Narrow" w:hAnsi="Arial Narrow" w:eastAsia="Arial Narrow" w:cs="Arial Narrow"/>
                <w:i w:val="0"/>
                <w:color w:val="000000"/>
                <w:kern w:val="0"/>
                <w:sz w:val="22"/>
                <w:szCs w:val="22"/>
                <w:u w:val="none"/>
                <w:lang w:val="en-US" w:eastAsia="zh-CN" w:bidi="ar"/>
              </w:rPr>
              <w:t>5</w:t>
            </w:r>
          </w:p>
        </w:tc>
        <w:tc>
          <w:tcPr>
            <w:tcW w:w="1124"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704" w:hRule="atLeast"/>
        </w:trPr>
        <w:tc>
          <w:tcPr>
            <w:tcW w:w="740"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34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Style w:val="20"/>
                <w:lang w:val="en-US" w:eastAsia="zh-CN" w:bidi="ar"/>
              </w:rPr>
              <w:t>前</w:t>
            </w:r>
            <w:r>
              <w:rPr>
                <w:rFonts w:ascii="Arial Narrow" w:hAnsi="Arial Narrow" w:eastAsia="Arial Narrow" w:cs="Arial Narrow"/>
                <w:i w:val="0"/>
                <w:color w:val="000000"/>
                <w:kern w:val="0"/>
                <w:sz w:val="22"/>
                <w:szCs w:val="22"/>
                <w:u w:val="none"/>
                <w:lang w:val="en-US" w:eastAsia="zh-CN" w:bidi="ar"/>
              </w:rPr>
              <w:t>60</w:t>
            </w:r>
            <w:r>
              <w:rPr>
                <w:rStyle w:val="20"/>
                <w:lang w:val="en-US" w:eastAsia="zh-CN" w:bidi="ar"/>
              </w:rPr>
              <w:t>（不含）</w:t>
            </w:r>
            <w:r>
              <w:rPr>
                <w:rFonts w:ascii="Arial Narrow" w:hAnsi="Arial Narrow" w:eastAsia="Arial Narrow" w:cs="Arial Narrow"/>
                <w:i w:val="0"/>
                <w:color w:val="000000"/>
                <w:kern w:val="0"/>
                <w:sz w:val="22"/>
                <w:szCs w:val="22"/>
                <w:u w:val="none"/>
                <w:lang w:val="en-US" w:eastAsia="zh-CN" w:bidi="ar"/>
              </w:rPr>
              <w:t xml:space="preserve"> ~ 70%</w:t>
            </w:r>
            <w:r>
              <w:rPr>
                <w:rStyle w:val="20"/>
                <w:lang w:val="en-US" w:eastAsia="zh-CN" w:bidi="ar"/>
              </w:rPr>
              <w:t>（含）</w:t>
            </w:r>
          </w:p>
        </w:tc>
        <w:tc>
          <w:tcPr>
            <w:tcW w:w="19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22"/>
                <w:szCs w:val="22"/>
                <w:u w:val="none"/>
              </w:rPr>
            </w:pPr>
            <w:r>
              <w:rPr>
                <w:rFonts w:hint="default" w:ascii="Arial Narrow" w:hAnsi="Arial Narrow" w:eastAsia="Arial Narrow" w:cs="Arial Narrow"/>
                <w:i w:val="0"/>
                <w:color w:val="000000"/>
                <w:kern w:val="0"/>
                <w:sz w:val="22"/>
                <w:szCs w:val="22"/>
                <w:u w:val="none"/>
                <w:lang w:val="en-US" w:eastAsia="zh-CN" w:bidi="ar"/>
              </w:rPr>
              <w:t>2</w:t>
            </w:r>
          </w:p>
        </w:tc>
        <w:tc>
          <w:tcPr>
            <w:tcW w:w="1416"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22"/>
                <w:szCs w:val="22"/>
                <w:u w:val="none"/>
              </w:rPr>
            </w:pPr>
            <w:r>
              <w:rPr>
                <w:rFonts w:hint="default" w:ascii="Arial Narrow" w:hAnsi="Arial Narrow" w:eastAsia="Arial Narrow" w:cs="Arial Narrow"/>
                <w:i w:val="0"/>
                <w:color w:val="000000"/>
                <w:kern w:val="0"/>
                <w:sz w:val="22"/>
                <w:szCs w:val="22"/>
                <w:u w:val="none"/>
                <w:lang w:val="en-US" w:eastAsia="zh-CN" w:bidi="ar"/>
              </w:rPr>
              <w:t>4</w:t>
            </w:r>
          </w:p>
        </w:tc>
        <w:tc>
          <w:tcPr>
            <w:tcW w:w="1124"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704" w:hRule="atLeast"/>
        </w:trPr>
        <w:tc>
          <w:tcPr>
            <w:tcW w:w="740"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34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Style w:val="20"/>
                <w:lang w:val="en-US" w:eastAsia="zh-CN" w:bidi="ar"/>
              </w:rPr>
              <w:t>前</w:t>
            </w:r>
            <w:r>
              <w:rPr>
                <w:rFonts w:ascii="Arial Narrow" w:hAnsi="Arial Narrow" w:eastAsia="Arial Narrow" w:cs="Arial Narrow"/>
                <w:i w:val="0"/>
                <w:color w:val="000000"/>
                <w:kern w:val="0"/>
                <w:sz w:val="22"/>
                <w:szCs w:val="22"/>
                <w:u w:val="none"/>
                <w:lang w:val="en-US" w:eastAsia="zh-CN" w:bidi="ar"/>
              </w:rPr>
              <w:t>70</w:t>
            </w:r>
            <w:r>
              <w:rPr>
                <w:rStyle w:val="20"/>
                <w:lang w:val="en-US" w:eastAsia="zh-CN" w:bidi="ar"/>
              </w:rPr>
              <w:t>（不含）</w:t>
            </w:r>
            <w:r>
              <w:rPr>
                <w:rFonts w:ascii="Arial Narrow" w:hAnsi="Arial Narrow" w:eastAsia="Arial Narrow" w:cs="Arial Narrow"/>
                <w:i w:val="0"/>
                <w:color w:val="000000"/>
                <w:kern w:val="0"/>
                <w:sz w:val="22"/>
                <w:szCs w:val="22"/>
                <w:u w:val="none"/>
                <w:lang w:val="en-US" w:eastAsia="zh-CN" w:bidi="ar"/>
              </w:rPr>
              <w:t xml:space="preserve"> ~ 80%</w:t>
            </w:r>
            <w:r>
              <w:rPr>
                <w:rStyle w:val="20"/>
                <w:lang w:val="en-US" w:eastAsia="zh-CN" w:bidi="ar"/>
              </w:rPr>
              <w:t>（含）</w:t>
            </w:r>
          </w:p>
        </w:tc>
        <w:tc>
          <w:tcPr>
            <w:tcW w:w="19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22"/>
                <w:szCs w:val="22"/>
                <w:u w:val="none"/>
              </w:rPr>
            </w:pPr>
            <w:r>
              <w:rPr>
                <w:rFonts w:hint="default" w:ascii="Arial Narrow" w:hAnsi="Arial Narrow" w:eastAsia="Arial Narrow" w:cs="Arial Narrow"/>
                <w:i w:val="0"/>
                <w:color w:val="000000"/>
                <w:kern w:val="0"/>
                <w:sz w:val="22"/>
                <w:szCs w:val="22"/>
                <w:u w:val="none"/>
                <w:lang w:val="en-US" w:eastAsia="zh-CN" w:bidi="ar"/>
              </w:rPr>
              <w:t>1.5</w:t>
            </w:r>
          </w:p>
        </w:tc>
        <w:tc>
          <w:tcPr>
            <w:tcW w:w="1416"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22"/>
                <w:szCs w:val="22"/>
                <w:u w:val="none"/>
              </w:rPr>
            </w:pPr>
            <w:r>
              <w:rPr>
                <w:rFonts w:hint="default" w:ascii="Arial Narrow" w:hAnsi="Arial Narrow" w:eastAsia="Arial Narrow" w:cs="Arial Narrow"/>
                <w:i w:val="0"/>
                <w:color w:val="000000"/>
                <w:kern w:val="0"/>
                <w:sz w:val="22"/>
                <w:szCs w:val="22"/>
                <w:u w:val="none"/>
                <w:lang w:val="en-US" w:eastAsia="zh-CN" w:bidi="ar"/>
              </w:rPr>
              <w:t>3</w:t>
            </w:r>
          </w:p>
        </w:tc>
        <w:tc>
          <w:tcPr>
            <w:tcW w:w="1124"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704" w:hRule="atLeast"/>
        </w:trPr>
        <w:tc>
          <w:tcPr>
            <w:tcW w:w="740"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34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Style w:val="20"/>
                <w:lang w:val="en-US" w:eastAsia="zh-CN" w:bidi="ar"/>
              </w:rPr>
              <w:t>前</w:t>
            </w:r>
            <w:r>
              <w:rPr>
                <w:rFonts w:ascii="Arial Narrow" w:hAnsi="Arial Narrow" w:eastAsia="Arial Narrow" w:cs="Arial Narrow"/>
                <w:i w:val="0"/>
                <w:color w:val="000000"/>
                <w:kern w:val="0"/>
                <w:sz w:val="22"/>
                <w:szCs w:val="22"/>
                <w:u w:val="none"/>
                <w:lang w:val="en-US" w:eastAsia="zh-CN" w:bidi="ar"/>
              </w:rPr>
              <w:t xml:space="preserve">80 </w:t>
            </w:r>
            <w:r>
              <w:rPr>
                <w:rStyle w:val="20"/>
                <w:lang w:val="en-US" w:eastAsia="zh-CN" w:bidi="ar"/>
              </w:rPr>
              <w:t>（不含）</w:t>
            </w:r>
            <w:r>
              <w:rPr>
                <w:rFonts w:ascii="Arial Narrow" w:hAnsi="Arial Narrow" w:eastAsia="Arial Narrow" w:cs="Arial Narrow"/>
                <w:i w:val="0"/>
                <w:color w:val="000000"/>
                <w:kern w:val="0"/>
                <w:sz w:val="22"/>
                <w:szCs w:val="22"/>
                <w:u w:val="none"/>
                <w:lang w:val="en-US" w:eastAsia="zh-CN" w:bidi="ar"/>
              </w:rPr>
              <w:t>~ 90%</w:t>
            </w:r>
            <w:r>
              <w:rPr>
                <w:rStyle w:val="20"/>
                <w:lang w:val="en-US" w:eastAsia="zh-CN" w:bidi="ar"/>
              </w:rPr>
              <w:t>（含）</w:t>
            </w:r>
          </w:p>
        </w:tc>
        <w:tc>
          <w:tcPr>
            <w:tcW w:w="19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22"/>
                <w:szCs w:val="22"/>
                <w:u w:val="none"/>
              </w:rPr>
            </w:pPr>
            <w:r>
              <w:rPr>
                <w:rFonts w:hint="default" w:ascii="Arial Narrow" w:hAnsi="Arial Narrow" w:eastAsia="Arial Narrow" w:cs="Arial Narrow"/>
                <w:i w:val="0"/>
                <w:color w:val="000000"/>
                <w:kern w:val="0"/>
                <w:sz w:val="22"/>
                <w:szCs w:val="22"/>
                <w:u w:val="none"/>
                <w:lang w:val="en-US" w:eastAsia="zh-CN" w:bidi="ar"/>
              </w:rPr>
              <w:t>1</w:t>
            </w:r>
          </w:p>
        </w:tc>
        <w:tc>
          <w:tcPr>
            <w:tcW w:w="1416"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22"/>
                <w:szCs w:val="22"/>
                <w:u w:val="none"/>
              </w:rPr>
            </w:pPr>
            <w:r>
              <w:rPr>
                <w:rFonts w:hint="default" w:ascii="Arial Narrow" w:hAnsi="Arial Narrow" w:eastAsia="Arial Narrow" w:cs="Arial Narrow"/>
                <w:i w:val="0"/>
                <w:color w:val="000000"/>
                <w:kern w:val="0"/>
                <w:sz w:val="22"/>
                <w:szCs w:val="22"/>
                <w:u w:val="none"/>
                <w:lang w:val="en-US" w:eastAsia="zh-CN" w:bidi="ar"/>
              </w:rPr>
              <w:t>2</w:t>
            </w:r>
          </w:p>
        </w:tc>
        <w:tc>
          <w:tcPr>
            <w:tcW w:w="1124"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704" w:hRule="atLeast"/>
        </w:trPr>
        <w:tc>
          <w:tcPr>
            <w:tcW w:w="740"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34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Style w:val="20"/>
                <w:lang w:val="en-US" w:eastAsia="zh-CN" w:bidi="ar"/>
              </w:rPr>
              <w:t>前</w:t>
            </w:r>
            <w:r>
              <w:rPr>
                <w:rFonts w:ascii="Arial Narrow" w:hAnsi="Arial Narrow" w:eastAsia="Arial Narrow" w:cs="Arial Narrow"/>
                <w:i w:val="0"/>
                <w:color w:val="000000"/>
                <w:kern w:val="0"/>
                <w:sz w:val="22"/>
                <w:szCs w:val="22"/>
                <w:u w:val="none"/>
                <w:lang w:val="en-US" w:eastAsia="zh-CN" w:bidi="ar"/>
              </w:rPr>
              <w:t xml:space="preserve">90 </w:t>
            </w:r>
            <w:r>
              <w:rPr>
                <w:rStyle w:val="20"/>
                <w:lang w:val="en-US" w:eastAsia="zh-CN" w:bidi="ar"/>
              </w:rPr>
              <w:t>（不含）</w:t>
            </w:r>
            <w:r>
              <w:rPr>
                <w:rFonts w:ascii="Arial Narrow" w:hAnsi="Arial Narrow" w:eastAsia="Arial Narrow" w:cs="Arial Narrow"/>
                <w:i w:val="0"/>
                <w:color w:val="000000"/>
                <w:kern w:val="0"/>
                <w:sz w:val="22"/>
                <w:szCs w:val="22"/>
                <w:u w:val="none"/>
                <w:lang w:val="en-US" w:eastAsia="zh-CN" w:bidi="ar"/>
              </w:rPr>
              <w:t>~ 100%</w:t>
            </w:r>
            <w:r>
              <w:rPr>
                <w:rStyle w:val="20"/>
                <w:lang w:val="en-US" w:eastAsia="zh-CN" w:bidi="ar"/>
              </w:rPr>
              <w:t>（含）</w:t>
            </w:r>
          </w:p>
        </w:tc>
        <w:tc>
          <w:tcPr>
            <w:tcW w:w="19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22"/>
                <w:szCs w:val="22"/>
                <w:u w:val="none"/>
              </w:rPr>
            </w:pPr>
            <w:r>
              <w:rPr>
                <w:rFonts w:hint="default" w:ascii="Arial Narrow" w:hAnsi="Arial Narrow" w:eastAsia="Arial Narrow" w:cs="Arial Narrow"/>
                <w:i w:val="0"/>
                <w:color w:val="000000"/>
                <w:kern w:val="0"/>
                <w:sz w:val="22"/>
                <w:szCs w:val="22"/>
                <w:u w:val="none"/>
                <w:lang w:val="en-US" w:eastAsia="zh-CN" w:bidi="ar"/>
              </w:rPr>
              <w:t>0.5</w:t>
            </w:r>
          </w:p>
        </w:tc>
        <w:tc>
          <w:tcPr>
            <w:tcW w:w="1416"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22"/>
                <w:szCs w:val="22"/>
                <w:u w:val="none"/>
              </w:rPr>
            </w:pPr>
            <w:r>
              <w:rPr>
                <w:rFonts w:hint="default" w:ascii="Arial Narrow" w:hAnsi="Arial Narrow" w:eastAsia="Arial Narrow" w:cs="Arial Narrow"/>
                <w:i w:val="0"/>
                <w:color w:val="000000"/>
                <w:kern w:val="0"/>
                <w:sz w:val="22"/>
                <w:szCs w:val="22"/>
                <w:u w:val="none"/>
                <w:lang w:val="en-US" w:eastAsia="zh-CN" w:bidi="ar"/>
              </w:rPr>
              <w:t>1</w:t>
            </w:r>
          </w:p>
        </w:tc>
        <w:tc>
          <w:tcPr>
            <w:tcW w:w="1124"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748" w:hRule="atLeast"/>
        </w:trPr>
        <w:tc>
          <w:tcPr>
            <w:tcW w:w="740" w:type="dxa"/>
            <w:tcBorders>
              <w:top w:val="single" w:color="000000" w:sz="4" w:space="0"/>
              <w:left w:val="single" w:color="000000" w:sz="8" w:space="0"/>
              <w:bottom w:val="single" w:color="000000" w:sz="8"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3426" w:type="dxa"/>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22"/>
                <w:szCs w:val="22"/>
                <w:u w:val="none"/>
              </w:rPr>
            </w:pPr>
            <w:r>
              <w:rPr>
                <w:rFonts w:hint="eastAsia" w:ascii="宋体" w:hAnsi="宋体" w:eastAsia="宋体" w:cs="宋体"/>
                <w:i w:val="0"/>
                <w:color w:val="000000"/>
                <w:kern w:val="0"/>
                <w:sz w:val="22"/>
                <w:szCs w:val="22"/>
                <w:u w:val="none"/>
                <w:lang w:val="en-US" w:eastAsia="zh-CN" w:bidi="ar"/>
              </w:rPr>
              <w:t>无收入</w:t>
            </w:r>
          </w:p>
        </w:tc>
        <w:tc>
          <w:tcPr>
            <w:tcW w:w="1974" w:type="dxa"/>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22"/>
                <w:szCs w:val="22"/>
                <w:u w:val="none"/>
              </w:rPr>
            </w:pPr>
            <w:r>
              <w:rPr>
                <w:rFonts w:hint="default" w:ascii="Arial Narrow" w:hAnsi="Arial Narrow" w:eastAsia="Arial Narrow" w:cs="Arial Narrow"/>
                <w:i w:val="0"/>
                <w:color w:val="000000"/>
                <w:kern w:val="0"/>
                <w:sz w:val="22"/>
                <w:szCs w:val="22"/>
                <w:u w:val="none"/>
                <w:lang w:val="en-US" w:eastAsia="zh-CN" w:bidi="ar"/>
              </w:rPr>
              <w:t>0</w:t>
            </w:r>
          </w:p>
        </w:tc>
        <w:tc>
          <w:tcPr>
            <w:tcW w:w="1416" w:type="dxa"/>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Arial Narrow" w:hAnsi="Arial Narrow" w:eastAsia="Arial Narrow" w:cs="Arial Narrow"/>
                <w:i w:val="0"/>
                <w:color w:val="000000"/>
                <w:sz w:val="22"/>
                <w:szCs w:val="22"/>
                <w:u w:val="none"/>
              </w:rPr>
            </w:pPr>
            <w:r>
              <w:rPr>
                <w:rFonts w:hint="default" w:ascii="Arial Narrow" w:hAnsi="Arial Narrow" w:eastAsia="Arial Narrow" w:cs="Arial Narrow"/>
                <w:i w:val="0"/>
                <w:color w:val="000000"/>
                <w:kern w:val="0"/>
                <w:sz w:val="22"/>
                <w:szCs w:val="22"/>
                <w:u w:val="none"/>
                <w:lang w:val="en-US" w:eastAsia="zh-CN" w:bidi="ar"/>
              </w:rPr>
              <w:t>0</w:t>
            </w:r>
          </w:p>
        </w:tc>
        <w:tc>
          <w:tcPr>
            <w:tcW w:w="1124" w:type="dxa"/>
            <w:tcBorders>
              <w:top w:val="single" w:color="000000" w:sz="4" w:space="0"/>
              <w:left w:val="single" w:color="000000" w:sz="4" w:space="0"/>
              <w:bottom w:val="single" w:color="000000" w:sz="8" w:space="0"/>
              <w:right w:val="single" w:color="000000" w:sz="8"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bl>
    <w:p>
      <w:pPr>
        <w:keepNext w:val="0"/>
        <w:keepLines w:val="0"/>
        <w:pageBreakBefore w:val="0"/>
        <w:widowControl w:val="0"/>
        <w:numPr>
          <w:ilvl w:val="0"/>
          <w:numId w:val="0"/>
        </w:numPr>
        <w:kinsoku/>
        <w:wordWrap/>
        <w:overflowPunct/>
        <w:topLinePunct w:val="0"/>
        <w:autoSpaceDE w:val="0"/>
        <w:autoSpaceDN w:val="0"/>
        <w:bidi w:val="0"/>
        <w:adjustRightInd/>
        <w:snapToGrid/>
        <w:spacing w:line="360" w:lineRule="auto"/>
        <w:ind w:right="0" w:rightChars="0"/>
        <w:textAlignment w:val="auto"/>
        <w:rPr>
          <w:rFonts w:hint="default" w:asciiTheme="minorEastAsia" w:hAnsiTheme="minorEastAsia" w:eastAsiaTheme="minorEastAsia" w:cstheme="minorEastAsia"/>
          <w:sz w:val="21"/>
          <w:szCs w:val="21"/>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snapToGrid/>
        <w:spacing w:line="360" w:lineRule="auto"/>
        <w:ind w:right="0" w:rightChars="0"/>
        <w:textAlignment w:val="auto"/>
        <w:rPr>
          <w:rFonts w:hint="default" w:asciiTheme="minorEastAsia" w:hAnsiTheme="minorEastAsia" w:eastAsiaTheme="minorEastAsia" w:cstheme="minorEastAsia"/>
          <w:sz w:val="21"/>
          <w:szCs w:val="21"/>
          <w:lang w:val="en-US" w:eastAsia="zh-CN"/>
        </w:rPr>
      </w:pPr>
      <w:r>
        <w:rPr>
          <w:rFonts w:hint="default" w:asciiTheme="minorEastAsia" w:hAnsiTheme="minorEastAsia" w:eastAsiaTheme="minorEastAsia" w:cstheme="minorEastAsia"/>
          <w:sz w:val="21"/>
          <w:szCs w:val="21"/>
          <w:lang w:val="en-US" w:eastAsia="zh-CN"/>
        </w:rPr>
        <w:t>注：1、工程造价咨询企业营业收入及造价咨询业务收入均从工程造价咨询统计系统导入。</w:t>
      </w:r>
    </w:p>
    <w:p>
      <w:pPr>
        <w:keepNext w:val="0"/>
        <w:keepLines w:val="0"/>
        <w:pageBreakBefore w:val="0"/>
        <w:widowControl w:val="0"/>
        <w:numPr>
          <w:ilvl w:val="0"/>
          <w:numId w:val="0"/>
        </w:numPr>
        <w:kinsoku/>
        <w:wordWrap/>
        <w:overflowPunct/>
        <w:topLinePunct w:val="0"/>
        <w:autoSpaceDE w:val="0"/>
        <w:autoSpaceDN w:val="0"/>
        <w:bidi w:val="0"/>
        <w:adjustRightInd/>
        <w:snapToGrid/>
        <w:spacing w:line="360" w:lineRule="auto"/>
        <w:ind w:right="0" w:rightChars="0" w:firstLine="420" w:firstLineChars="200"/>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2、营业收入分值对应营业收入排名，造价咨询业务收入分值对应造价咨询收入排名。</w:t>
      </w:r>
    </w:p>
    <w:p>
      <w:pPr>
        <w:keepNext w:val="0"/>
        <w:keepLines w:val="0"/>
        <w:pageBreakBefore w:val="0"/>
        <w:widowControl w:val="0"/>
        <w:numPr>
          <w:ilvl w:val="0"/>
          <w:numId w:val="0"/>
        </w:numPr>
        <w:kinsoku/>
        <w:wordWrap/>
        <w:overflowPunct/>
        <w:topLinePunct w:val="0"/>
        <w:autoSpaceDE w:val="0"/>
        <w:autoSpaceDN w:val="0"/>
        <w:bidi w:val="0"/>
        <w:adjustRightInd/>
        <w:snapToGrid/>
        <w:spacing w:line="360" w:lineRule="auto"/>
        <w:ind w:right="0" w:rightChars="0" w:firstLine="420" w:firstLineChars="200"/>
        <w:textAlignment w:val="auto"/>
        <w:rPr>
          <w:rFonts w:hint="default" w:asciiTheme="minorEastAsia" w:hAnsiTheme="minorEastAsia" w:eastAsiaTheme="minorEastAsia" w:cstheme="minorEastAsia"/>
          <w:sz w:val="21"/>
          <w:szCs w:val="21"/>
          <w:lang w:val="en-US" w:eastAsia="zh-CN"/>
        </w:rPr>
        <w:sectPr>
          <w:pgSz w:w="11906" w:h="16838"/>
          <w:pgMar w:top="1417" w:right="1417" w:bottom="1417" w:left="1417" w:header="851" w:footer="992" w:gutter="0"/>
          <w:pgBorders>
            <w:top w:val="none" w:sz="0" w:space="0"/>
            <w:left w:val="none" w:sz="0" w:space="0"/>
            <w:bottom w:val="none" w:sz="0" w:space="0"/>
            <w:right w:val="none" w:sz="0" w:space="0"/>
          </w:pgBorders>
          <w:pgNumType w:fmt="decimal"/>
          <w:cols w:space="0" w:num="1"/>
          <w:rtlGutter w:val="0"/>
          <w:docGrid w:type="lines" w:linePitch="324" w:charSpace="0"/>
        </w:sectPr>
      </w:pPr>
      <w:r>
        <w:rPr>
          <w:rFonts w:hint="eastAsia" w:asciiTheme="minorEastAsia" w:hAnsiTheme="minorEastAsia" w:eastAsiaTheme="minorEastAsia" w:cstheme="minorEastAsia"/>
          <w:sz w:val="21"/>
          <w:szCs w:val="21"/>
          <w:lang w:val="en-US" w:eastAsia="zh-CN"/>
        </w:rPr>
        <w:t>3、收入排名按企业在注册所在地（省、市、自治区）进行排名，各行业按所属行业进行排名。</w:t>
      </w:r>
    </w:p>
    <w:p>
      <w:pPr>
        <w:keepNext w:val="0"/>
        <w:keepLines w:val="0"/>
        <w:pageBreakBefore w:val="0"/>
        <w:widowControl w:val="0"/>
        <w:numPr>
          <w:ilvl w:val="0"/>
          <w:numId w:val="0"/>
        </w:numPr>
        <w:kinsoku/>
        <w:wordWrap/>
        <w:overflowPunct/>
        <w:topLinePunct w:val="0"/>
        <w:autoSpaceDE w:val="0"/>
        <w:autoSpaceDN w:val="0"/>
        <w:bidi w:val="0"/>
        <w:adjustRightInd/>
        <w:snapToGrid/>
        <w:spacing w:line="360" w:lineRule="auto"/>
        <w:ind w:right="0" w:rightChars="0"/>
        <w:textAlignment w:val="auto"/>
        <w:rPr>
          <w:rFonts w:hint="default" w:asciiTheme="minorEastAsia" w:hAnsiTheme="minorEastAsia" w:eastAsiaTheme="minorEastAsia" w:cstheme="minorEastAsia"/>
          <w:b/>
          <w:bCs/>
          <w:sz w:val="28"/>
          <w:szCs w:val="28"/>
          <w:lang w:val="en-US" w:eastAsia="zh-CN"/>
        </w:rPr>
      </w:pPr>
      <w:r>
        <w:rPr>
          <w:rFonts w:hint="default" w:asciiTheme="minorEastAsia" w:hAnsiTheme="minorEastAsia" w:eastAsiaTheme="minorEastAsia" w:cstheme="minorEastAsia"/>
          <w:b/>
          <w:bCs/>
          <w:sz w:val="28"/>
          <w:szCs w:val="28"/>
          <w:lang w:val="en-US" w:eastAsia="zh-CN"/>
        </w:rPr>
        <w:t>附</w:t>
      </w:r>
      <w:r>
        <w:rPr>
          <w:rFonts w:hint="eastAsia" w:asciiTheme="minorEastAsia" w:hAnsiTheme="minorEastAsia" w:eastAsiaTheme="minorEastAsia" w:cstheme="minorEastAsia"/>
          <w:b/>
          <w:bCs/>
          <w:sz w:val="28"/>
          <w:szCs w:val="28"/>
          <w:lang w:val="en-US" w:eastAsia="zh-CN"/>
        </w:rPr>
        <w:t>表</w:t>
      </w:r>
      <w:r>
        <w:rPr>
          <w:rFonts w:hint="default" w:asciiTheme="minorEastAsia" w:hAnsiTheme="minorEastAsia" w:eastAsiaTheme="minorEastAsia" w:cstheme="minorEastAsia"/>
          <w:b/>
          <w:bCs/>
          <w:sz w:val="28"/>
          <w:szCs w:val="28"/>
          <w:lang w:val="en-US" w:eastAsia="zh-CN"/>
        </w:rPr>
        <w:t xml:space="preserve">3：                          </w:t>
      </w:r>
      <w:r>
        <w:rPr>
          <w:rFonts w:hint="eastAsia" w:asciiTheme="minorEastAsia" w:hAnsiTheme="minorEastAsia" w:cstheme="minorEastAsia"/>
          <w:b/>
          <w:bCs/>
          <w:sz w:val="28"/>
          <w:szCs w:val="28"/>
          <w:lang w:val="en-US" w:eastAsia="zh-CN"/>
        </w:rPr>
        <w:t xml:space="preserve"> </w:t>
      </w:r>
      <w:r>
        <w:rPr>
          <w:rFonts w:hint="default" w:asciiTheme="minorEastAsia" w:hAnsiTheme="minorEastAsia" w:eastAsiaTheme="minorEastAsia" w:cstheme="minorEastAsia"/>
          <w:b/>
          <w:bCs/>
          <w:sz w:val="28"/>
          <w:szCs w:val="28"/>
          <w:lang w:val="en-US" w:eastAsia="zh-CN"/>
        </w:rPr>
        <w:t xml:space="preserve"> 工程造价咨询企业良好行为加分表</w:t>
      </w:r>
    </w:p>
    <w:tbl>
      <w:tblPr>
        <w:tblStyle w:val="6"/>
        <w:tblW w:w="14346" w:type="dxa"/>
        <w:tblInd w:w="0" w:type="dxa"/>
        <w:shd w:val="clear" w:color="auto" w:fill="auto"/>
        <w:tblLayout w:type="fixed"/>
        <w:tblCellMar>
          <w:top w:w="0" w:type="dxa"/>
          <w:left w:w="0" w:type="dxa"/>
          <w:bottom w:w="0" w:type="dxa"/>
          <w:right w:w="0" w:type="dxa"/>
        </w:tblCellMar>
      </w:tblPr>
      <w:tblGrid>
        <w:gridCol w:w="523"/>
        <w:gridCol w:w="11603"/>
        <w:gridCol w:w="645"/>
        <w:gridCol w:w="780"/>
        <w:gridCol w:w="795"/>
      </w:tblGrid>
      <w:tr>
        <w:tblPrEx>
          <w:shd w:val="clear" w:color="auto" w:fill="auto"/>
          <w:tblLayout w:type="fixed"/>
          <w:tblCellMar>
            <w:top w:w="0" w:type="dxa"/>
            <w:left w:w="0" w:type="dxa"/>
            <w:bottom w:w="0" w:type="dxa"/>
            <w:right w:w="0" w:type="dxa"/>
          </w:tblCellMar>
        </w:tblPrEx>
        <w:trPr>
          <w:trHeight w:val="660" w:hRule="atLeast"/>
        </w:trPr>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18"/>
                <w:szCs w:val="18"/>
                <w:u w:val="none"/>
              </w:rPr>
            </w:pPr>
            <w:r>
              <w:rPr>
                <w:rFonts w:hint="eastAsia" w:asciiTheme="minorEastAsia" w:hAnsiTheme="minorEastAsia" w:eastAsiaTheme="minorEastAsia" w:cstheme="minorEastAsia"/>
                <w:b/>
                <w:i w:val="0"/>
                <w:color w:val="000000"/>
                <w:kern w:val="0"/>
                <w:sz w:val="18"/>
                <w:szCs w:val="18"/>
                <w:u w:val="none"/>
                <w:lang w:val="en-US" w:eastAsia="zh-CN" w:bidi="ar"/>
              </w:rPr>
              <w:t>序号</w:t>
            </w:r>
          </w:p>
        </w:tc>
        <w:tc>
          <w:tcPr>
            <w:tcW w:w="116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18"/>
                <w:szCs w:val="18"/>
                <w:u w:val="none"/>
              </w:rPr>
            </w:pPr>
            <w:r>
              <w:rPr>
                <w:rFonts w:hint="eastAsia" w:asciiTheme="minorEastAsia" w:hAnsiTheme="minorEastAsia" w:eastAsiaTheme="minorEastAsia" w:cstheme="minorEastAsia"/>
                <w:b/>
                <w:i w:val="0"/>
                <w:color w:val="000000"/>
                <w:kern w:val="0"/>
                <w:sz w:val="18"/>
                <w:szCs w:val="18"/>
                <w:u w:val="none"/>
                <w:lang w:val="en-US" w:eastAsia="zh-CN" w:bidi="ar"/>
              </w:rPr>
              <w:t>良好行为加分项内容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18"/>
                <w:szCs w:val="18"/>
                <w:u w:val="none"/>
              </w:rPr>
            </w:pPr>
            <w:r>
              <w:rPr>
                <w:rFonts w:hint="eastAsia" w:asciiTheme="minorEastAsia" w:hAnsiTheme="minorEastAsia" w:eastAsiaTheme="minorEastAsia" w:cstheme="minorEastAsia"/>
                <w:b/>
                <w:i w:val="0"/>
                <w:color w:val="000000"/>
                <w:kern w:val="0"/>
                <w:sz w:val="18"/>
                <w:szCs w:val="18"/>
                <w:u w:val="none"/>
                <w:lang w:val="en-US" w:eastAsia="zh-CN" w:bidi="ar"/>
              </w:rPr>
              <w:t>加分  限额</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18"/>
                <w:szCs w:val="18"/>
                <w:u w:val="none"/>
              </w:rPr>
            </w:pPr>
            <w:r>
              <w:rPr>
                <w:rFonts w:hint="eastAsia" w:asciiTheme="minorEastAsia" w:hAnsiTheme="minorEastAsia" w:eastAsiaTheme="minorEastAsia" w:cstheme="minorEastAsia"/>
                <w:b/>
                <w:i w:val="0"/>
                <w:color w:val="000000"/>
                <w:kern w:val="0"/>
                <w:sz w:val="18"/>
                <w:szCs w:val="18"/>
                <w:u w:val="none"/>
                <w:lang w:val="en-US" w:eastAsia="zh-CN" w:bidi="ar"/>
              </w:rPr>
              <w:t>得分</w:t>
            </w:r>
          </w:p>
        </w:tc>
        <w:tc>
          <w:tcPr>
            <w:tcW w:w="795"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18"/>
                <w:szCs w:val="18"/>
                <w:u w:val="none"/>
              </w:rPr>
            </w:pPr>
            <w:r>
              <w:rPr>
                <w:rFonts w:hint="eastAsia" w:asciiTheme="minorEastAsia" w:hAnsiTheme="minorEastAsia" w:eastAsiaTheme="minorEastAsia" w:cstheme="minorEastAsia"/>
                <w:b/>
                <w:i w:val="0"/>
                <w:color w:val="000000"/>
                <w:kern w:val="0"/>
                <w:sz w:val="18"/>
                <w:szCs w:val="18"/>
                <w:u w:val="none"/>
                <w:lang w:val="en-US" w:eastAsia="zh-CN" w:bidi="ar"/>
              </w:rPr>
              <w:t>合计加分  限额</w:t>
            </w:r>
          </w:p>
        </w:tc>
      </w:tr>
      <w:tr>
        <w:tblPrEx>
          <w:tblLayout w:type="fixed"/>
          <w:tblCellMar>
            <w:top w:w="0" w:type="dxa"/>
            <w:left w:w="0" w:type="dxa"/>
            <w:bottom w:w="0" w:type="dxa"/>
            <w:right w:w="0" w:type="dxa"/>
          </w:tblCellMar>
        </w:tblPrEx>
        <w:trPr>
          <w:trHeight w:val="799" w:hRule="atLeast"/>
        </w:trPr>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1.1</w:t>
            </w:r>
          </w:p>
        </w:tc>
        <w:tc>
          <w:tcPr>
            <w:tcW w:w="116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企业在造价咨询活动中获得市级及以上人民政府的表彰、表扬或奖励，每获国家级加2分/项，每获省（直辖市）级加1.5分/项，每获市级加1分/项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2</w:t>
            </w:r>
          </w:p>
        </w:tc>
        <w:tc>
          <w:tcPr>
            <w:tcW w:w="78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9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10</w:t>
            </w:r>
          </w:p>
        </w:tc>
      </w:tr>
      <w:tr>
        <w:tblPrEx>
          <w:tblLayout w:type="fixed"/>
          <w:tblCellMar>
            <w:top w:w="0" w:type="dxa"/>
            <w:left w:w="0" w:type="dxa"/>
            <w:bottom w:w="0" w:type="dxa"/>
            <w:right w:w="0" w:type="dxa"/>
          </w:tblCellMar>
        </w:tblPrEx>
        <w:trPr>
          <w:trHeight w:val="799" w:hRule="atLeast"/>
        </w:trPr>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1.2</w:t>
            </w:r>
          </w:p>
        </w:tc>
        <w:tc>
          <w:tcPr>
            <w:tcW w:w="116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企业在造价咨询活动中获得市级以上建设行政主管部门、行业管理机构或行业协会的表彰、表扬或奖励,每获国家级加1分/项，每获省（直辖市）级加0.8分/项，每获市级加0.5分/项；获得市级以上审计、财政、发改等政府部门的表彰或奖励,获省级及以上的加0.5分/项，获市级的加0.3分/项，获得委托方奖励的加0.5分/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2</w:t>
            </w:r>
          </w:p>
        </w:tc>
        <w:tc>
          <w:tcPr>
            <w:tcW w:w="78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9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r>
      <w:tr>
        <w:tblPrEx>
          <w:tblLayout w:type="fixed"/>
          <w:tblCellMar>
            <w:top w:w="0" w:type="dxa"/>
            <w:left w:w="0" w:type="dxa"/>
            <w:bottom w:w="0" w:type="dxa"/>
            <w:right w:w="0" w:type="dxa"/>
          </w:tblCellMar>
        </w:tblPrEx>
        <w:trPr>
          <w:trHeight w:val="799" w:hRule="atLeast"/>
        </w:trPr>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1.3</w:t>
            </w:r>
          </w:p>
        </w:tc>
        <w:tc>
          <w:tcPr>
            <w:tcW w:w="116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企业有中价协资深会员0.5分/人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w:t>
            </w:r>
          </w:p>
        </w:tc>
        <w:tc>
          <w:tcPr>
            <w:tcW w:w="78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9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r>
      <w:tr>
        <w:tblPrEx>
          <w:tblLayout w:type="fixed"/>
          <w:tblCellMar>
            <w:top w:w="0" w:type="dxa"/>
            <w:left w:w="0" w:type="dxa"/>
            <w:bottom w:w="0" w:type="dxa"/>
            <w:right w:w="0" w:type="dxa"/>
          </w:tblCellMar>
        </w:tblPrEx>
        <w:trPr>
          <w:trHeight w:val="799" w:hRule="atLeast"/>
        </w:trPr>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1.4</w:t>
            </w:r>
          </w:p>
        </w:tc>
        <w:tc>
          <w:tcPr>
            <w:tcW w:w="116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企业有造价行业专家，如中价协专家委员会成员，省造价协会专家委员会成员，省建设厅、财政局评标专家等。中价协0.5分/人，省（直辖市）级0.3分/人，市级0.2分/人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2</w:t>
            </w:r>
          </w:p>
        </w:tc>
        <w:tc>
          <w:tcPr>
            <w:tcW w:w="78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9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r>
      <w:tr>
        <w:tblPrEx>
          <w:tblLayout w:type="fixed"/>
          <w:tblCellMar>
            <w:top w:w="0" w:type="dxa"/>
            <w:left w:w="0" w:type="dxa"/>
            <w:bottom w:w="0" w:type="dxa"/>
            <w:right w:w="0" w:type="dxa"/>
          </w:tblCellMar>
        </w:tblPrEx>
        <w:trPr>
          <w:trHeight w:val="799" w:hRule="atLeast"/>
        </w:trPr>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1.5</w:t>
            </w:r>
          </w:p>
        </w:tc>
        <w:tc>
          <w:tcPr>
            <w:tcW w:w="116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企业在参加造价行业组织的专业技能类竞赛中获奖，每获国家级加2分/项，每获省（直辖市）级加1.5分/项，每获市级加1分/项；员工获奖按相应级别减半加分</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3</w:t>
            </w:r>
          </w:p>
        </w:tc>
        <w:tc>
          <w:tcPr>
            <w:tcW w:w="78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9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r>
      <w:tr>
        <w:tblPrEx>
          <w:tblLayout w:type="fixed"/>
          <w:tblCellMar>
            <w:top w:w="0" w:type="dxa"/>
            <w:left w:w="0" w:type="dxa"/>
            <w:bottom w:w="0" w:type="dxa"/>
            <w:right w:w="0" w:type="dxa"/>
          </w:tblCellMar>
        </w:tblPrEx>
        <w:trPr>
          <w:trHeight w:val="799" w:hRule="atLeast"/>
        </w:trPr>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1.6</w:t>
            </w:r>
          </w:p>
        </w:tc>
        <w:tc>
          <w:tcPr>
            <w:tcW w:w="116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企业在参加造价行业协会组织的文体活动竞赛等各类活动中获奖，每获国家级加1分/项，每获省（直辖市）级加0.8分/项，每获市级加0.5分/项,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2</w:t>
            </w:r>
          </w:p>
        </w:tc>
        <w:tc>
          <w:tcPr>
            <w:tcW w:w="78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9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r>
      <w:tr>
        <w:tblPrEx>
          <w:tblLayout w:type="fixed"/>
          <w:tblCellMar>
            <w:top w:w="0" w:type="dxa"/>
            <w:left w:w="0" w:type="dxa"/>
            <w:bottom w:w="0" w:type="dxa"/>
            <w:right w:w="0" w:type="dxa"/>
          </w:tblCellMar>
        </w:tblPrEx>
        <w:trPr>
          <w:trHeight w:val="799" w:hRule="atLeast"/>
        </w:trPr>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1.7</w:t>
            </w:r>
          </w:p>
        </w:tc>
        <w:tc>
          <w:tcPr>
            <w:tcW w:w="116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发表与工程造价相关论文、案例，国家级（国际）刊物加1分/项，省（直辖市）级刊物加0.8分/项，市级刊物加0.5分/项                                                                                 获得行业优秀论文、典型案例的加0.5分/项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2</w:t>
            </w:r>
          </w:p>
        </w:tc>
        <w:tc>
          <w:tcPr>
            <w:tcW w:w="78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9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r>
      <w:tr>
        <w:tblPrEx>
          <w:tblLayout w:type="fixed"/>
          <w:tblCellMar>
            <w:top w:w="0" w:type="dxa"/>
            <w:left w:w="0" w:type="dxa"/>
            <w:bottom w:w="0" w:type="dxa"/>
            <w:right w:w="0" w:type="dxa"/>
          </w:tblCellMar>
        </w:tblPrEx>
        <w:trPr>
          <w:trHeight w:val="799" w:hRule="atLeast"/>
        </w:trPr>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1.8</w:t>
            </w:r>
          </w:p>
        </w:tc>
        <w:tc>
          <w:tcPr>
            <w:tcW w:w="116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参与市级以上行业管理机构组织的计价依据的修编（或补充定额的编制）、教材修编、试卷命题等，加1分/人；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w:t>
            </w:r>
          </w:p>
        </w:tc>
        <w:tc>
          <w:tcPr>
            <w:tcW w:w="78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9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r>
      <w:tr>
        <w:tblPrEx>
          <w:tblLayout w:type="fixed"/>
          <w:tblCellMar>
            <w:top w:w="0" w:type="dxa"/>
            <w:left w:w="0" w:type="dxa"/>
            <w:bottom w:w="0" w:type="dxa"/>
            <w:right w:w="0" w:type="dxa"/>
          </w:tblCellMar>
        </w:tblPrEx>
        <w:trPr>
          <w:trHeight w:val="799" w:hRule="atLeast"/>
        </w:trPr>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1.9</w:t>
            </w:r>
          </w:p>
        </w:tc>
        <w:tc>
          <w:tcPr>
            <w:tcW w:w="116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参与造价相关的课题研究及规范、标准编制，系主编的，住建部标准定额司或中价协加1分/人，省（直辖市）级加0.8分/人，市级0.5分/人，系参编的，按主编标准减半加分</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2</w:t>
            </w:r>
          </w:p>
        </w:tc>
        <w:tc>
          <w:tcPr>
            <w:tcW w:w="78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9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r>
      <w:tr>
        <w:tblPrEx>
          <w:tblLayout w:type="fixed"/>
          <w:tblCellMar>
            <w:top w:w="0" w:type="dxa"/>
            <w:left w:w="0" w:type="dxa"/>
            <w:bottom w:w="0" w:type="dxa"/>
            <w:right w:w="0" w:type="dxa"/>
          </w:tblCellMar>
        </w:tblPrEx>
        <w:trPr>
          <w:trHeight w:val="799" w:hRule="atLeast"/>
        </w:trPr>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Theme="minorEastAsia" w:hAnsiTheme="minorEastAsia" w:eastAsiaTheme="minorEastAsia" w:cstheme="minorEastAsia"/>
                <w:i w:val="0"/>
                <w:color w:val="000000"/>
                <w:kern w:val="0"/>
                <w:sz w:val="18"/>
                <w:szCs w:val="18"/>
                <w:u w:val="none"/>
                <w:lang w:val="en-US" w:eastAsia="zh-CN" w:bidi="ar"/>
              </w:rPr>
            </w:pPr>
            <w:r>
              <w:rPr>
                <w:rFonts w:hint="eastAsia" w:asciiTheme="minorEastAsia" w:hAnsiTheme="minorEastAsia" w:eastAsiaTheme="minorEastAsia" w:cstheme="minorEastAsia"/>
                <w:b/>
                <w:i w:val="0"/>
                <w:color w:val="000000"/>
                <w:kern w:val="0"/>
                <w:sz w:val="18"/>
                <w:szCs w:val="18"/>
                <w:u w:val="none"/>
                <w:lang w:val="en-US" w:eastAsia="zh-CN" w:bidi="ar"/>
              </w:rPr>
              <w:t>序号</w:t>
            </w:r>
          </w:p>
        </w:tc>
        <w:tc>
          <w:tcPr>
            <w:tcW w:w="116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Theme="minorEastAsia" w:hAnsiTheme="minorEastAsia" w:eastAsiaTheme="minorEastAsia" w:cstheme="minorEastAsia"/>
                <w:i w:val="0"/>
                <w:color w:val="000000"/>
                <w:kern w:val="0"/>
                <w:sz w:val="18"/>
                <w:szCs w:val="18"/>
                <w:u w:val="none"/>
                <w:lang w:val="en-US" w:eastAsia="zh-CN" w:bidi="ar"/>
              </w:rPr>
            </w:pPr>
            <w:r>
              <w:rPr>
                <w:rFonts w:hint="eastAsia" w:asciiTheme="minorEastAsia" w:hAnsiTheme="minorEastAsia" w:eastAsiaTheme="minorEastAsia" w:cstheme="minorEastAsia"/>
                <w:b/>
                <w:i w:val="0"/>
                <w:color w:val="000000"/>
                <w:kern w:val="0"/>
                <w:sz w:val="18"/>
                <w:szCs w:val="18"/>
                <w:u w:val="none"/>
                <w:lang w:val="en-US" w:eastAsia="zh-CN" w:bidi="ar"/>
              </w:rPr>
              <w:t>良好行为加分项内容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Theme="minorEastAsia" w:hAnsiTheme="minorEastAsia" w:eastAsiaTheme="minorEastAsia" w:cstheme="minorEastAsia"/>
                <w:i w:val="0"/>
                <w:color w:val="000000"/>
                <w:kern w:val="0"/>
                <w:sz w:val="18"/>
                <w:szCs w:val="18"/>
                <w:u w:val="none"/>
                <w:lang w:val="en-US" w:eastAsia="zh-CN" w:bidi="ar"/>
              </w:rPr>
            </w:pPr>
            <w:r>
              <w:rPr>
                <w:rFonts w:hint="eastAsia" w:asciiTheme="minorEastAsia" w:hAnsiTheme="minorEastAsia" w:eastAsiaTheme="minorEastAsia" w:cstheme="minorEastAsia"/>
                <w:b/>
                <w:i w:val="0"/>
                <w:color w:val="000000"/>
                <w:kern w:val="0"/>
                <w:sz w:val="18"/>
                <w:szCs w:val="18"/>
                <w:u w:val="none"/>
                <w:lang w:val="en-US" w:eastAsia="zh-CN" w:bidi="ar"/>
              </w:rPr>
              <w:t>加分  限额</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b/>
                <w:i w:val="0"/>
                <w:color w:val="000000"/>
                <w:kern w:val="0"/>
                <w:sz w:val="18"/>
                <w:szCs w:val="18"/>
                <w:u w:val="none"/>
                <w:lang w:val="en-US" w:eastAsia="zh-CN" w:bidi="ar"/>
              </w:rPr>
              <w:t>得分</w:t>
            </w:r>
          </w:p>
        </w:tc>
        <w:tc>
          <w:tcPr>
            <w:tcW w:w="795" w:type="dxa"/>
            <w:tcBorders>
              <w:top w:val="single" w:color="auto"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b/>
                <w:i w:val="0"/>
                <w:color w:val="000000"/>
                <w:kern w:val="0"/>
                <w:sz w:val="18"/>
                <w:szCs w:val="18"/>
                <w:u w:val="none"/>
                <w:lang w:val="en-US" w:eastAsia="zh-CN" w:bidi="ar"/>
              </w:rPr>
              <w:t>合计加分  限额</w:t>
            </w:r>
          </w:p>
        </w:tc>
      </w:tr>
      <w:tr>
        <w:tblPrEx>
          <w:tblLayout w:type="fixed"/>
          <w:tblCellMar>
            <w:top w:w="0" w:type="dxa"/>
            <w:left w:w="0" w:type="dxa"/>
            <w:bottom w:w="0" w:type="dxa"/>
            <w:right w:w="0" w:type="dxa"/>
          </w:tblCellMar>
        </w:tblPrEx>
        <w:trPr>
          <w:trHeight w:val="799" w:hRule="atLeast"/>
        </w:trPr>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 xml:space="preserve">1.10 </w:t>
            </w:r>
          </w:p>
        </w:tc>
        <w:tc>
          <w:tcPr>
            <w:tcW w:w="116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参加造价行业组织的检查、评审、阅卷等，加0.5分/人次</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2</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95" w:type="dxa"/>
            <w:vMerge w:val="restart"/>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接上</w:t>
            </w:r>
          </w:p>
        </w:tc>
      </w:tr>
      <w:tr>
        <w:tblPrEx>
          <w:tblLayout w:type="fixed"/>
          <w:tblCellMar>
            <w:top w:w="0" w:type="dxa"/>
            <w:left w:w="0" w:type="dxa"/>
            <w:bottom w:w="0" w:type="dxa"/>
            <w:right w:w="0" w:type="dxa"/>
          </w:tblCellMar>
        </w:tblPrEx>
        <w:trPr>
          <w:trHeight w:val="799" w:hRule="atLeast"/>
        </w:trPr>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1.11</w:t>
            </w:r>
          </w:p>
        </w:tc>
        <w:tc>
          <w:tcPr>
            <w:tcW w:w="116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提供在校学生、应届大学生等实习、实训机会的加0.1分/人；与高等院校或职业学院达成校企联合实训基地的加1分。</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95" w:type="dxa"/>
            <w:vMerge w:val="continue"/>
            <w:tcBorders>
              <w:left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p>
        </w:tc>
      </w:tr>
      <w:tr>
        <w:tblPrEx>
          <w:tblLayout w:type="fixed"/>
          <w:tblCellMar>
            <w:top w:w="0" w:type="dxa"/>
            <w:left w:w="0" w:type="dxa"/>
            <w:bottom w:w="0" w:type="dxa"/>
            <w:right w:w="0" w:type="dxa"/>
          </w:tblCellMar>
        </w:tblPrEx>
        <w:trPr>
          <w:trHeight w:val="799" w:hRule="atLeast"/>
        </w:trPr>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1.12</w:t>
            </w:r>
          </w:p>
        </w:tc>
        <w:tc>
          <w:tcPr>
            <w:tcW w:w="116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 xml:space="preserve">参与救灾、捐款、物资捐赠、助教、助残、扶贫等慈善公益活动，加0.5分/次；                                                      </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95" w:type="dxa"/>
            <w:vMerge w:val="continue"/>
            <w:tcBorders>
              <w:left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r>
      <w:tr>
        <w:tblPrEx>
          <w:tblLayout w:type="fixed"/>
          <w:tblCellMar>
            <w:top w:w="0" w:type="dxa"/>
            <w:left w:w="0" w:type="dxa"/>
            <w:bottom w:w="0" w:type="dxa"/>
            <w:right w:w="0" w:type="dxa"/>
          </w:tblCellMar>
        </w:tblPrEx>
        <w:trPr>
          <w:trHeight w:val="799" w:hRule="atLeast"/>
        </w:trPr>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1.13</w:t>
            </w:r>
          </w:p>
        </w:tc>
        <w:tc>
          <w:tcPr>
            <w:tcW w:w="116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企业投保职业保险的加2分</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18"/>
                <w:szCs w:val="18"/>
                <w:u w:val="none"/>
              </w:rPr>
            </w:pPr>
            <w:r>
              <w:rPr>
                <w:rFonts w:hint="eastAsia" w:asciiTheme="minorEastAsia" w:hAnsiTheme="minorEastAsia" w:eastAsiaTheme="minorEastAsia" w:cstheme="minorEastAsia"/>
                <w:i w:val="0"/>
                <w:color w:val="000000"/>
                <w:kern w:val="0"/>
                <w:sz w:val="18"/>
                <w:szCs w:val="18"/>
                <w:u w:val="none"/>
                <w:lang w:val="en-US" w:eastAsia="zh-CN" w:bidi="ar"/>
              </w:rPr>
              <w:t>2</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c>
          <w:tcPr>
            <w:tcW w:w="795" w:type="dxa"/>
            <w:vMerge w:val="continue"/>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8"/>
                <w:szCs w:val="18"/>
                <w:u w:val="none"/>
              </w:rPr>
            </w:pPr>
          </w:p>
        </w:tc>
      </w:tr>
    </w:tbl>
    <w:p>
      <w:pPr>
        <w:keepNext w:val="0"/>
        <w:keepLines w:val="0"/>
        <w:pageBreakBefore w:val="0"/>
        <w:widowControl w:val="0"/>
        <w:numPr>
          <w:ilvl w:val="0"/>
          <w:numId w:val="0"/>
        </w:numPr>
        <w:kinsoku/>
        <w:wordWrap/>
        <w:overflowPunct/>
        <w:topLinePunct w:val="0"/>
        <w:autoSpaceDE w:val="0"/>
        <w:autoSpaceDN w:val="0"/>
        <w:bidi w:val="0"/>
        <w:adjustRightInd/>
        <w:snapToGrid/>
        <w:spacing w:line="360" w:lineRule="auto"/>
        <w:ind w:right="0" w:rightChars="0"/>
        <w:textAlignment w:val="auto"/>
        <w:rPr>
          <w:rFonts w:hint="default" w:asciiTheme="minorEastAsia" w:hAnsiTheme="minorEastAsia" w:eastAsiaTheme="minorEastAsia" w:cstheme="minorEastAsia"/>
          <w:sz w:val="21"/>
          <w:szCs w:val="21"/>
          <w:lang w:val="en-US" w:eastAsia="zh-CN"/>
        </w:rPr>
      </w:pPr>
      <w:r>
        <w:rPr>
          <w:rFonts w:hint="default" w:asciiTheme="minorEastAsia" w:hAnsiTheme="minorEastAsia" w:eastAsiaTheme="minorEastAsia" w:cstheme="minorEastAsia"/>
          <w:sz w:val="21"/>
          <w:szCs w:val="21"/>
          <w:lang w:val="en-US" w:eastAsia="zh-CN"/>
        </w:rPr>
        <w:t>注：1、企业填报相关信息，准备相关材料备查，接受社会监督；</w:t>
      </w:r>
    </w:p>
    <w:p>
      <w:pPr>
        <w:keepNext w:val="0"/>
        <w:keepLines w:val="0"/>
        <w:pageBreakBefore w:val="0"/>
        <w:widowControl w:val="0"/>
        <w:numPr>
          <w:ilvl w:val="0"/>
          <w:numId w:val="0"/>
        </w:numPr>
        <w:kinsoku/>
        <w:wordWrap/>
        <w:overflowPunct/>
        <w:topLinePunct w:val="0"/>
        <w:autoSpaceDE w:val="0"/>
        <w:autoSpaceDN w:val="0"/>
        <w:bidi w:val="0"/>
        <w:adjustRightInd/>
        <w:snapToGrid/>
        <w:spacing w:line="360" w:lineRule="auto"/>
        <w:ind w:right="0" w:rightChars="0"/>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 xml:space="preserve">    2、同一项良好行为不得重复计分。</w:t>
      </w:r>
    </w:p>
    <w:p>
      <w:pPr>
        <w:keepNext w:val="0"/>
        <w:keepLines w:val="0"/>
        <w:pageBreakBefore w:val="0"/>
        <w:widowControl w:val="0"/>
        <w:numPr>
          <w:ilvl w:val="0"/>
          <w:numId w:val="0"/>
        </w:numPr>
        <w:kinsoku/>
        <w:wordWrap/>
        <w:overflowPunct/>
        <w:topLinePunct w:val="0"/>
        <w:autoSpaceDE w:val="0"/>
        <w:autoSpaceDN w:val="0"/>
        <w:bidi w:val="0"/>
        <w:adjustRightInd/>
        <w:snapToGrid/>
        <w:spacing w:line="360" w:lineRule="auto"/>
        <w:ind w:right="0" w:rightChars="0"/>
        <w:textAlignment w:val="auto"/>
        <w:rPr>
          <w:rFonts w:hint="default" w:asciiTheme="minorEastAsia" w:hAnsiTheme="minorEastAsia" w:eastAsiaTheme="minorEastAsia" w:cstheme="minorEastAsia"/>
          <w:sz w:val="21"/>
          <w:szCs w:val="21"/>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snapToGrid/>
        <w:spacing w:line="360" w:lineRule="auto"/>
        <w:ind w:right="0" w:rightChars="0"/>
        <w:textAlignment w:val="auto"/>
        <w:rPr>
          <w:rFonts w:hint="default" w:asciiTheme="minorEastAsia" w:hAnsiTheme="minorEastAsia" w:eastAsiaTheme="minorEastAsia" w:cstheme="minorEastAsia"/>
          <w:sz w:val="21"/>
          <w:szCs w:val="21"/>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snapToGrid/>
        <w:spacing w:line="360" w:lineRule="auto"/>
        <w:ind w:right="0" w:rightChars="0"/>
        <w:textAlignment w:val="auto"/>
        <w:rPr>
          <w:rFonts w:hint="default" w:asciiTheme="minorEastAsia" w:hAnsiTheme="minorEastAsia" w:eastAsiaTheme="minorEastAsia" w:cstheme="minorEastAsia"/>
          <w:sz w:val="21"/>
          <w:szCs w:val="21"/>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snapToGrid/>
        <w:spacing w:line="360" w:lineRule="auto"/>
        <w:ind w:right="0" w:rightChars="0"/>
        <w:textAlignment w:val="auto"/>
        <w:rPr>
          <w:rFonts w:hint="default" w:asciiTheme="minorEastAsia" w:hAnsiTheme="minorEastAsia" w:eastAsiaTheme="minorEastAsia" w:cstheme="minorEastAsia"/>
          <w:sz w:val="21"/>
          <w:szCs w:val="21"/>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snapToGrid/>
        <w:spacing w:line="360" w:lineRule="auto"/>
        <w:ind w:right="0" w:rightChars="0"/>
        <w:textAlignment w:val="auto"/>
        <w:rPr>
          <w:rFonts w:hint="default" w:asciiTheme="minorEastAsia" w:hAnsiTheme="minorEastAsia" w:eastAsiaTheme="minorEastAsia" w:cstheme="minorEastAsia"/>
          <w:sz w:val="21"/>
          <w:szCs w:val="21"/>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snapToGrid/>
        <w:spacing w:line="360" w:lineRule="auto"/>
        <w:ind w:right="0" w:rightChars="0"/>
        <w:textAlignment w:val="auto"/>
        <w:rPr>
          <w:rFonts w:hint="default" w:asciiTheme="minorEastAsia" w:hAnsiTheme="minorEastAsia" w:eastAsiaTheme="minorEastAsia" w:cstheme="minorEastAsia"/>
          <w:b/>
          <w:bCs/>
          <w:sz w:val="28"/>
          <w:szCs w:val="28"/>
          <w:lang w:val="en-US" w:eastAsia="zh-CN"/>
        </w:rPr>
      </w:pPr>
      <w:r>
        <w:rPr>
          <w:rFonts w:hint="default" w:asciiTheme="minorEastAsia" w:hAnsiTheme="minorEastAsia" w:eastAsiaTheme="minorEastAsia" w:cstheme="minorEastAsia"/>
          <w:b/>
          <w:bCs/>
          <w:sz w:val="28"/>
          <w:szCs w:val="28"/>
          <w:lang w:val="en-US" w:eastAsia="zh-CN"/>
        </w:rPr>
        <w:t>附</w:t>
      </w:r>
      <w:r>
        <w:rPr>
          <w:rFonts w:hint="eastAsia" w:asciiTheme="minorEastAsia" w:hAnsiTheme="minorEastAsia" w:eastAsiaTheme="minorEastAsia" w:cstheme="minorEastAsia"/>
          <w:b/>
          <w:bCs/>
          <w:sz w:val="28"/>
          <w:szCs w:val="28"/>
          <w:lang w:val="en-US" w:eastAsia="zh-CN"/>
        </w:rPr>
        <w:t>表</w:t>
      </w:r>
      <w:r>
        <w:rPr>
          <w:rFonts w:hint="default" w:asciiTheme="minorEastAsia" w:hAnsiTheme="minorEastAsia" w:eastAsiaTheme="minorEastAsia" w:cstheme="minorEastAsia"/>
          <w:b/>
          <w:bCs/>
          <w:sz w:val="28"/>
          <w:szCs w:val="28"/>
          <w:lang w:val="en-US" w:eastAsia="zh-CN"/>
        </w:rPr>
        <w:t xml:space="preserve">4：                      </w:t>
      </w:r>
      <w:r>
        <w:rPr>
          <w:rFonts w:hint="eastAsia" w:asciiTheme="minorEastAsia" w:hAnsiTheme="minorEastAsia" w:cstheme="minorEastAsia"/>
          <w:b/>
          <w:bCs/>
          <w:sz w:val="28"/>
          <w:szCs w:val="28"/>
          <w:lang w:val="en-US" w:eastAsia="zh-CN"/>
        </w:rPr>
        <w:t xml:space="preserve">   </w:t>
      </w:r>
      <w:r>
        <w:rPr>
          <w:rFonts w:hint="default" w:asciiTheme="minorEastAsia" w:hAnsiTheme="minorEastAsia" w:eastAsiaTheme="minorEastAsia" w:cstheme="minorEastAsia"/>
          <w:b/>
          <w:bCs/>
          <w:sz w:val="28"/>
          <w:szCs w:val="28"/>
          <w:lang w:val="en-US" w:eastAsia="zh-CN"/>
        </w:rPr>
        <w:t>工程造价咨询企业不良行为扣分表</w:t>
      </w:r>
    </w:p>
    <w:tbl>
      <w:tblPr>
        <w:tblStyle w:val="6"/>
        <w:tblW w:w="14023" w:type="dxa"/>
        <w:tblInd w:w="0" w:type="dxa"/>
        <w:shd w:val="clear" w:color="auto" w:fill="auto"/>
        <w:tblLayout w:type="fixed"/>
        <w:tblCellMar>
          <w:top w:w="0" w:type="dxa"/>
          <w:left w:w="0" w:type="dxa"/>
          <w:bottom w:w="0" w:type="dxa"/>
          <w:right w:w="0" w:type="dxa"/>
        </w:tblCellMar>
      </w:tblPr>
      <w:tblGrid>
        <w:gridCol w:w="688"/>
        <w:gridCol w:w="9030"/>
        <w:gridCol w:w="2205"/>
        <w:gridCol w:w="1080"/>
        <w:gridCol w:w="1020"/>
      </w:tblGrid>
      <w:tr>
        <w:tblPrEx>
          <w:shd w:val="clear" w:color="auto" w:fill="auto"/>
          <w:tblLayout w:type="fixed"/>
          <w:tblCellMar>
            <w:top w:w="0" w:type="dxa"/>
            <w:left w:w="0" w:type="dxa"/>
            <w:bottom w:w="0" w:type="dxa"/>
            <w:right w:w="0" w:type="dxa"/>
          </w:tblCellMar>
        </w:tblPrEx>
        <w:trPr>
          <w:trHeight w:val="645"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序号</w:t>
            </w:r>
          </w:p>
        </w:tc>
        <w:tc>
          <w:tcPr>
            <w:tcW w:w="90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不良行为扣分项内容</w:t>
            </w: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说明</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每次扣分</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扣分</w:t>
            </w:r>
          </w:p>
        </w:tc>
      </w:tr>
      <w:tr>
        <w:tblPrEx>
          <w:tblLayout w:type="fixed"/>
          <w:tblCellMar>
            <w:top w:w="0" w:type="dxa"/>
            <w:left w:w="0" w:type="dxa"/>
            <w:bottom w:w="0" w:type="dxa"/>
            <w:right w:w="0" w:type="dxa"/>
          </w:tblCellMar>
        </w:tblPrEx>
        <w:trPr>
          <w:trHeight w:val="275"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I</w:t>
            </w: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480"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1.1 </w:t>
            </w:r>
          </w:p>
        </w:tc>
        <w:tc>
          <w:tcPr>
            <w:tcW w:w="9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企业法定代表人、技术负责人因本企业职务行为受到刑事处罚或严重的行政处罚</w:t>
            </w:r>
          </w:p>
        </w:tc>
        <w:tc>
          <w:tcPr>
            <w:tcW w:w="22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1、企业如发生此类不良行为的，信用级别直接降为最低级；</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2、应说明不良行为的具体内容，相应文书、文件的名称或文号等。</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435"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1.2 </w:t>
            </w:r>
          </w:p>
        </w:tc>
        <w:tc>
          <w:tcPr>
            <w:tcW w:w="9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企业或企业的法定代表人、技术负责人受到行业协会公开谴责惩戒</w:t>
            </w:r>
          </w:p>
        </w:tc>
        <w:tc>
          <w:tcPr>
            <w:tcW w:w="22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20"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450"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1.3 </w:t>
            </w:r>
          </w:p>
        </w:tc>
        <w:tc>
          <w:tcPr>
            <w:tcW w:w="9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企业出借、借用资质等级证书进行投标或承接造价咨询业务</w:t>
            </w:r>
          </w:p>
        </w:tc>
        <w:tc>
          <w:tcPr>
            <w:tcW w:w="22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20"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465"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1.4 </w:t>
            </w:r>
          </w:p>
        </w:tc>
        <w:tc>
          <w:tcPr>
            <w:tcW w:w="903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企业提供虚假评价材料或拒绝接受造价管理机构、造价协会监督检查，情节严重，经查属实</w:t>
            </w:r>
          </w:p>
        </w:tc>
        <w:tc>
          <w:tcPr>
            <w:tcW w:w="22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20"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434"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1.5 </w:t>
            </w:r>
          </w:p>
        </w:tc>
        <w:tc>
          <w:tcPr>
            <w:tcW w:w="9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有法律、法规、规章及行业规定的其他严重违法、违规行为</w:t>
            </w:r>
          </w:p>
        </w:tc>
        <w:tc>
          <w:tcPr>
            <w:tcW w:w="22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65"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II</w:t>
            </w:r>
          </w:p>
        </w:tc>
        <w:tc>
          <w:tcPr>
            <w:tcW w:w="2205"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590"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2.1 </w:t>
            </w:r>
          </w:p>
        </w:tc>
        <w:tc>
          <w:tcPr>
            <w:tcW w:w="903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注册在本企业的职业人员因本企业职务行为受到严重刑事处罚或行政处罚</w:t>
            </w:r>
          </w:p>
        </w:tc>
        <w:tc>
          <w:tcPr>
            <w:tcW w:w="220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1、企业如发生此类不良行为的，按相应条目进行扣分，分值可累计；</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2、不良行为信息根据政府主管部门、造价行业管理机构、造价行业协会记录或经查实的举报、投诉等；</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3、应说明不良行为的具体内容，相应文书、文件的名称或文号等。</w:t>
            </w:r>
          </w:p>
        </w:tc>
        <w:tc>
          <w:tcPr>
            <w:tcW w:w="1080" w:type="dxa"/>
            <w:tcBorders>
              <w:top w:val="single" w:color="000000" w:sz="4" w:space="0"/>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575"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2.2 </w:t>
            </w:r>
          </w:p>
        </w:tc>
        <w:tc>
          <w:tcPr>
            <w:tcW w:w="903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由于咨询单位行为过错给委托人造成重大经济损失</w:t>
            </w:r>
          </w:p>
        </w:tc>
        <w:tc>
          <w:tcPr>
            <w:tcW w:w="220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80" w:type="dxa"/>
            <w:tcBorders>
              <w:top w:val="single" w:color="000000" w:sz="4" w:space="0"/>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460"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2.3 </w:t>
            </w:r>
          </w:p>
        </w:tc>
        <w:tc>
          <w:tcPr>
            <w:tcW w:w="903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在工程造价咨询业务招投标活动中围标、串标，或事先与业主约定设置明显排斥其它潜在投标人的条款</w:t>
            </w:r>
          </w:p>
        </w:tc>
        <w:tc>
          <w:tcPr>
            <w:tcW w:w="220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80" w:type="dxa"/>
            <w:tcBorders>
              <w:top w:val="single" w:color="000000" w:sz="4" w:space="0"/>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720"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2.4 </w:t>
            </w:r>
          </w:p>
        </w:tc>
        <w:tc>
          <w:tcPr>
            <w:tcW w:w="903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分公司以自己名义承揽工程造价咨询业务、订立工程造价咨询合同、出具工程造价成果文件；超越资质等级或范围承接业务；转包承接的工程造价咨询业务；与当事人签订的工程造价咨询合同存在欺骗性条款</w:t>
            </w:r>
          </w:p>
        </w:tc>
        <w:tc>
          <w:tcPr>
            <w:tcW w:w="220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80" w:type="dxa"/>
            <w:tcBorders>
              <w:top w:val="single" w:color="000000" w:sz="4" w:space="0"/>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490"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2.5 </w:t>
            </w:r>
          </w:p>
        </w:tc>
        <w:tc>
          <w:tcPr>
            <w:tcW w:w="903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被县级及以上建设行政主管部门、相关行政主管部门、行业管理机构、行业协会处以通报、责令整改或其它处罚</w:t>
            </w:r>
          </w:p>
        </w:tc>
        <w:tc>
          <w:tcPr>
            <w:tcW w:w="220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80" w:type="dxa"/>
            <w:tcBorders>
              <w:top w:val="single" w:color="000000" w:sz="4" w:space="0"/>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430"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2.6 </w:t>
            </w:r>
          </w:p>
        </w:tc>
        <w:tc>
          <w:tcPr>
            <w:tcW w:w="903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采用弄虚作假等不正当手段承接造价咨询业务；以给予回扣、贿赂等不正当方式承接业务</w:t>
            </w:r>
          </w:p>
        </w:tc>
        <w:tc>
          <w:tcPr>
            <w:tcW w:w="220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80" w:type="dxa"/>
            <w:tcBorders>
              <w:top w:val="single" w:color="000000" w:sz="4" w:space="0"/>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645"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2.7 </w:t>
            </w:r>
          </w:p>
        </w:tc>
        <w:tc>
          <w:tcPr>
            <w:tcW w:w="903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违背客观、公正和诚信原则出具工程造价咨询成果报告</w:t>
            </w:r>
          </w:p>
        </w:tc>
        <w:tc>
          <w:tcPr>
            <w:tcW w:w="220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p>
        </w:tc>
        <w:tc>
          <w:tcPr>
            <w:tcW w:w="1080" w:type="dxa"/>
            <w:tcBorders>
              <w:top w:val="single" w:color="000000" w:sz="4" w:space="0"/>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645"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b/>
                <w:i w:val="0"/>
                <w:color w:val="000000"/>
                <w:kern w:val="0"/>
                <w:sz w:val="18"/>
                <w:szCs w:val="18"/>
                <w:u w:val="none"/>
                <w:lang w:val="en-US" w:eastAsia="zh-CN" w:bidi="ar"/>
              </w:rPr>
              <w:t>序号</w:t>
            </w:r>
          </w:p>
        </w:tc>
        <w:tc>
          <w:tcPr>
            <w:tcW w:w="903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b/>
                <w:i w:val="0"/>
                <w:color w:val="000000"/>
                <w:kern w:val="0"/>
                <w:sz w:val="18"/>
                <w:szCs w:val="18"/>
                <w:u w:val="none"/>
                <w:lang w:val="en-US" w:eastAsia="zh-CN" w:bidi="ar"/>
              </w:rPr>
              <w:t>不良行为扣分项内容</w:t>
            </w:r>
          </w:p>
        </w:tc>
        <w:tc>
          <w:tcPr>
            <w:tcW w:w="2205" w:type="dxa"/>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说明</w:t>
            </w:r>
          </w:p>
        </w:tc>
        <w:tc>
          <w:tcPr>
            <w:tcW w:w="1080" w:type="dxa"/>
            <w:tcBorders>
              <w:top w:val="single" w:color="auto"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b/>
                <w:i w:val="0"/>
                <w:color w:val="000000"/>
                <w:kern w:val="0"/>
                <w:sz w:val="18"/>
                <w:szCs w:val="18"/>
                <w:u w:val="none"/>
                <w:lang w:val="en-US" w:eastAsia="zh-CN" w:bidi="ar"/>
              </w:rPr>
              <w:t>每次扣分</w:t>
            </w:r>
          </w:p>
        </w:tc>
        <w:tc>
          <w:tcPr>
            <w:tcW w:w="1020" w:type="dxa"/>
            <w:tcBorders>
              <w:top w:val="single" w:color="000000" w:sz="4" w:space="0"/>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ind w:left="0" w:leftChars="0" w:right="0" w:rightChars="0"/>
              <w:jc w:val="center"/>
              <w:textAlignment w:val="center"/>
              <w:rPr>
                <w:rFonts w:hint="eastAsia" w:ascii="宋体" w:hAnsi="宋体" w:eastAsia="宋体" w:cs="宋体"/>
                <w:i w:val="0"/>
                <w:color w:val="000000"/>
                <w:sz w:val="18"/>
                <w:szCs w:val="18"/>
                <w:u w:val="none"/>
              </w:rPr>
            </w:pPr>
            <w:r>
              <w:rPr>
                <w:rFonts w:hint="eastAsia" w:ascii="宋体" w:hAnsi="宋体" w:eastAsia="宋体" w:cs="宋体"/>
                <w:b/>
                <w:i w:val="0"/>
                <w:color w:val="000000"/>
                <w:kern w:val="0"/>
                <w:sz w:val="18"/>
                <w:szCs w:val="18"/>
                <w:u w:val="none"/>
                <w:lang w:val="en-US" w:eastAsia="zh-CN" w:bidi="ar"/>
              </w:rPr>
              <w:t>扣分</w:t>
            </w:r>
          </w:p>
        </w:tc>
      </w:tr>
      <w:tr>
        <w:tblPrEx>
          <w:tblLayout w:type="fixed"/>
          <w:tblCellMar>
            <w:top w:w="0" w:type="dxa"/>
            <w:left w:w="0" w:type="dxa"/>
            <w:bottom w:w="0" w:type="dxa"/>
            <w:right w:w="0" w:type="dxa"/>
          </w:tblCellMar>
        </w:tblPrEx>
        <w:trPr>
          <w:trHeight w:val="645"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2.8 </w:t>
            </w:r>
          </w:p>
        </w:tc>
        <w:tc>
          <w:tcPr>
            <w:tcW w:w="903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泄露、窃取商业或技术秘密</w:t>
            </w:r>
          </w:p>
        </w:tc>
        <w:tc>
          <w:tcPr>
            <w:tcW w:w="2205" w:type="dxa"/>
            <w:vMerge w:val="restart"/>
            <w:tcBorders>
              <w:top w:val="single" w:color="000000"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接上</w:t>
            </w:r>
          </w:p>
        </w:tc>
        <w:tc>
          <w:tcPr>
            <w:tcW w:w="1080" w:type="dxa"/>
            <w:tcBorders>
              <w:top w:val="single" w:color="000000" w:sz="4" w:space="0"/>
              <w:left w:val="single" w:color="000000"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020" w:type="dxa"/>
            <w:tcBorders>
              <w:top w:val="single" w:color="000000" w:sz="4" w:space="0"/>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735"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2.9 </w:t>
            </w:r>
          </w:p>
        </w:tc>
        <w:tc>
          <w:tcPr>
            <w:tcW w:w="903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收取合同约定以外的不正当费用</w:t>
            </w:r>
          </w:p>
        </w:tc>
        <w:tc>
          <w:tcPr>
            <w:tcW w:w="2205" w:type="dxa"/>
            <w:vMerge w:val="continue"/>
            <w:tcBorders>
              <w:top w:val="single" w:color="auto" w:sz="4" w:space="0"/>
              <w:left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675"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2.10 </w:t>
            </w:r>
          </w:p>
        </w:tc>
        <w:tc>
          <w:tcPr>
            <w:tcW w:w="903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企业非法用工被投诉查实；企业员工离职后，不给予及时办理劳动合同解除、证书印章变更、人事档案调离的；企业拖欠员工工资和社保；企业职业人员存在挂靠行为</w:t>
            </w:r>
          </w:p>
        </w:tc>
        <w:tc>
          <w:tcPr>
            <w:tcW w:w="2205"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638"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2.11 </w:t>
            </w:r>
          </w:p>
        </w:tc>
        <w:tc>
          <w:tcPr>
            <w:tcW w:w="9030"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企业在“信用中国”等权威信用机构有不良信用记录</w:t>
            </w:r>
          </w:p>
        </w:tc>
        <w:tc>
          <w:tcPr>
            <w:tcW w:w="2205" w:type="dxa"/>
            <w:vMerge w:val="continue"/>
            <w:tcBorders>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bl>
    <w:p>
      <w:pPr>
        <w:keepNext w:val="0"/>
        <w:keepLines w:val="0"/>
        <w:pageBreakBefore w:val="0"/>
        <w:widowControl w:val="0"/>
        <w:numPr>
          <w:ilvl w:val="0"/>
          <w:numId w:val="0"/>
        </w:numPr>
        <w:kinsoku/>
        <w:wordWrap/>
        <w:overflowPunct/>
        <w:topLinePunct w:val="0"/>
        <w:autoSpaceDE w:val="0"/>
        <w:autoSpaceDN w:val="0"/>
        <w:bidi w:val="0"/>
        <w:adjustRightInd/>
        <w:snapToGrid/>
        <w:spacing w:line="360" w:lineRule="auto"/>
        <w:ind w:right="0" w:rightChars="0"/>
        <w:textAlignment w:val="auto"/>
        <w:rPr>
          <w:rFonts w:hint="default" w:asciiTheme="minorEastAsia" w:hAnsiTheme="minorEastAsia" w:eastAsiaTheme="minorEastAsia" w:cstheme="minorEastAsia"/>
          <w:sz w:val="21"/>
          <w:szCs w:val="21"/>
          <w:lang w:val="en-US" w:eastAsia="zh-CN"/>
        </w:rPr>
      </w:pPr>
      <w:r>
        <w:rPr>
          <w:rFonts w:hint="default" w:asciiTheme="minorEastAsia" w:hAnsiTheme="minorEastAsia" w:eastAsiaTheme="minorEastAsia" w:cstheme="minorEastAsia"/>
          <w:sz w:val="21"/>
          <w:szCs w:val="21"/>
          <w:lang w:val="en-US" w:eastAsia="zh-CN"/>
        </w:rPr>
        <w:t>注：1、同一事项被不同部门处罚或通报，按最高扣分计扣一次。</w:t>
      </w:r>
    </w:p>
    <w:p>
      <w:pPr>
        <w:keepNext w:val="0"/>
        <w:keepLines w:val="0"/>
        <w:pageBreakBefore w:val="0"/>
        <w:widowControl w:val="0"/>
        <w:numPr>
          <w:ilvl w:val="0"/>
          <w:numId w:val="0"/>
        </w:numPr>
        <w:kinsoku/>
        <w:wordWrap/>
        <w:overflowPunct/>
        <w:topLinePunct w:val="0"/>
        <w:autoSpaceDE w:val="0"/>
        <w:autoSpaceDN w:val="0"/>
        <w:bidi w:val="0"/>
        <w:adjustRightInd/>
        <w:snapToGrid/>
        <w:spacing w:line="360" w:lineRule="auto"/>
        <w:ind w:leftChars="0" w:right="0" w:rightChars="0" w:firstLine="420" w:firstLineChars="200"/>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2、</w:t>
      </w:r>
      <w:r>
        <w:rPr>
          <w:rFonts w:hint="default" w:asciiTheme="minorEastAsia" w:hAnsiTheme="minorEastAsia" w:eastAsiaTheme="minorEastAsia" w:cstheme="minorEastAsia"/>
          <w:sz w:val="21"/>
          <w:szCs w:val="21"/>
          <w:lang w:val="en-US" w:eastAsia="zh-CN"/>
        </w:rPr>
        <w:t>本表“不良行为”内容和扣分，适用企业（法人），也适用企业的分支机构</w:t>
      </w:r>
      <w:r>
        <w:rPr>
          <w:rFonts w:hint="eastAsia" w:asciiTheme="minorEastAsia" w:hAnsiTheme="minorEastAsia" w:eastAsiaTheme="minorEastAsia" w:cstheme="minorEastAsia"/>
          <w:sz w:val="21"/>
          <w:szCs w:val="21"/>
          <w:lang w:val="en-US" w:eastAsia="zh-CN"/>
        </w:rPr>
        <w:t>。</w:t>
      </w:r>
    </w:p>
    <w:p>
      <w:pPr>
        <w:keepNext w:val="0"/>
        <w:keepLines w:val="0"/>
        <w:pageBreakBefore w:val="0"/>
        <w:widowControl w:val="0"/>
        <w:kinsoku/>
        <w:wordWrap/>
        <w:overflowPunct/>
        <w:topLinePunct w:val="0"/>
        <w:autoSpaceDE w:val="0"/>
        <w:autoSpaceDN w:val="0"/>
        <w:bidi w:val="0"/>
        <w:adjustRightInd w:val="0"/>
        <w:snapToGrid/>
        <w:spacing w:line="360" w:lineRule="auto"/>
        <w:textAlignment w:val="auto"/>
        <w:rPr>
          <w:rFonts w:hint="default"/>
          <w:lang w:val="en-US" w:eastAsia="zh-CN"/>
        </w:rPr>
      </w:pPr>
    </w:p>
    <w:p>
      <w:pPr>
        <w:keepNext w:val="0"/>
        <w:keepLines w:val="0"/>
        <w:pageBreakBefore w:val="0"/>
        <w:widowControl w:val="0"/>
        <w:kinsoku/>
        <w:wordWrap/>
        <w:overflowPunct/>
        <w:topLinePunct w:val="0"/>
        <w:autoSpaceDE w:val="0"/>
        <w:autoSpaceDN w:val="0"/>
        <w:bidi w:val="0"/>
        <w:adjustRightInd w:val="0"/>
        <w:snapToGrid/>
        <w:spacing w:line="360" w:lineRule="auto"/>
        <w:textAlignment w:val="auto"/>
        <w:rPr>
          <w:rFonts w:hint="default"/>
          <w:lang w:val="en-US" w:eastAsia="zh-CN"/>
        </w:rPr>
      </w:pPr>
    </w:p>
    <w:p>
      <w:pPr>
        <w:rPr>
          <w:rFonts w:hint="default"/>
          <w:lang w:val="en-US" w:eastAsia="zh-CN"/>
        </w:rPr>
      </w:pPr>
      <w:r>
        <w:rPr>
          <w:rFonts w:hint="default"/>
          <w:lang w:val="en-US" w:eastAsia="zh-CN"/>
        </w:rPr>
        <w:br w:type="page"/>
      </w:r>
    </w:p>
    <w:p>
      <w:pPr>
        <w:keepNext w:val="0"/>
        <w:keepLines w:val="0"/>
        <w:pageBreakBefore w:val="0"/>
        <w:widowControl w:val="0"/>
        <w:kinsoku/>
        <w:wordWrap/>
        <w:overflowPunct/>
        <w:topLinePunct w:val="0"/>
        <w:autoSpaceDE w:val="0"/>
        <w:autoSpaceDN w:val="0"/>
        <w:bidi w:val="0"/>
        <w:adjustRightInd w:val="0"/>
        <w:snapToGrid/>
        <w:spacing w:line="360" w:lineRule="auto"/>
        <w:textAlignment w:val="auto"/>
        <w:rPr>
          <w:rFonts w:hint="eastAsia"/>
          <w:sz w:val="24"/>
          <w:szCs w:val="24"/>
          <w:lang w:val="en-US" w:eastAsia="zh-CN"/>
        </w:rPr>
      </w:pPr>
      <w:r>
        <w:rPr>
          <w:rFonts w:hint="eastAsia"/>
          <w:sz w:val="24"/>
          <w:szCs w:val="24"/>
          <w:lang w:val="en-US" w:eastAsia="zh-CN"/>
        </w:rPr>
        <w:t>附件2</w:t>
      </w:r>
    </w:p>
    <w:p>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hint="eastAsia" w:ascii="新宋体" w:hAnsi="新宋体" w:eastAsia="新宋体" w:cs="新宋体"/>
          <w:b/>
          <w:bCs/>
          <w:sz w:val="32"/>
          <w:szCs w:val="32"/>
          <w:lang w:val="en-US" w:eastAsia="zh-CN"/>
        </w:rPr>
      </w:pPr>
      <w:r>
        <w:rPr>
          <w:rFonts w:hint="eastAsia" w:ascii="新宋体" w:hAnsi="新宋体" w:eastAsia="新宋体" w:cs="新宋体"/>
          <w:b/>
          <w:bCs/>
          <w:sz w:val="32"/>
          <w:szCs w:val="32"/>
          <w:lang w:val="en-US" w:eastAsia="zh-CN"/>
        </w:rPr>
        <w:t>省级自定义内容申报材料（电子版）清单</w:t>
      </w:r>
    </w:p>
    <w:tbl>
      <w:tblPr>
        <w:tblStyle w:val="7"/>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5"/>
        <w:gridCol w:w="3135"/>
        <w:gridCol w:w="4890"/>
        <w:gridCol w:w="53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45"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bCs/>
                <w:color w:val="auto"/>
                <w:sz w:val="24"/>
                <w:szCs w:val="24"/>
                <w:vertAlign w:val="baseline"/>
                <w:lang w:val="en-US" w:eastAsia="zh-CN"/>
              </w:rPr>
            </w:pPr>
            <w:r>
              <w:rPr>
                <w:rFonts w:hint="eastAsia" w:ascii="宋体" w:hAnsi="宋体" w:eastAsia="宋体" w:cs="宋体"/>
                <w:b/>
                <w:bCs/>
                <w:color w:val="auto"/>
                <w:sz w:val="24"/>
                <w:szCs w:val="24"/>
                <w:vertAlign w:val="baseline"/>
                <w:lang w:val="en-US" w:eastAsia="zh-CN"/>
              </w:rPr>
              <w:t>序号</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bCs/>
                <w:color w:val="auto"/>
                <w:sz w:val="24"/>
                <w:szCs w:val="24"/>
                <w:vertAlign w:val="baseline"/>
                <w:lang w:val="en-US" w:eastAsia="zh-CN"/>
              </w:rPr>
            </w:pPr>
            <w:r>
              <w:rPr>
                <w:rFonts w:hint="eastAsia" w:ascii="宋体" w:hAnsi="宋体" w:eastAsia="宋体" w:cs="宋体"/>
                <w:b/>
                <w:bCs/>
                <w:color w:val="auto"/>
                <w:sz w:val="24"/>
                <w:szCs w:val="24"/>
                <w:vertAlign w:val="baseline"/>
                <w:lang w:val="en-US" w:eastAsia="zh-CN"/>
              </w:rPr>
              <w:t>评价指标</w:t>
            </w:r>
          </w:p>
        </w:tc>
        <w:tc>
          <w:tcPr>
            <w:tcW w:w="4890"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bCs/>
                <w:color w:val="auto"/>
                <w:sz w:val="24"/>
                <w:szCs w:val="24"/>
                <w:vertAlign w:val="baseline"/>
                <w:lang w:val="en-US" w:eastAsia="zh-CN"/>
              </w:rPr>
            </w:pPr>
            <w:r>
              <w:rPr>
                <w:rFonts w:hint="eastAsia" w:ascii="宋体" w:hAnsi="宋体" w:eastAsia="宋体" w:cs="宋体"/>
                <w:b/>
                <w:bCs/>
                <w:color w:val="auto"/>
                <w:sz w:val="24"/>
                <w:szCs w:val="24"/>
                <w:vertAlign w:val="baseline"/>
                <w:lang w:val="en-US" w:eastAsia="zh-CN"/>
              </w:rPr>
              <w:t>说明</w:t>
            </w:r>
          </w:p>
        </w:tc>
        <w:tc>
          <w:tcPr>
            <w:tcW w:w="5304"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bCs/>
                <w:color w:val="auto"/>
                <w:sz w:val="24"/>
                <w:szCs w:val="24"/>
                <w:vertAlign w:val="baseline"/>
                <w:lang w:val="en-US" w:eastAsia="zh-CN"/>
              </w:rPr>
            </w:pPr>
            <w:r>
              <w:rPr>
                <w:rFonts w:hint="eastAsia" w:ascii="宋体" w:hAnsi="宋体" w:eastAsia="宋体" w:cs="宋体"/>
                <w:b/>
                <w:bCs/>
                <w:color w:val="auto"/>
                <w:sz w:val="24"/>
                <w:szCs w:val="24"/>
                <w:vertAlign w:val="baseline"/>
                <w:lang w:val="en-US" w:eastAsia="zh-CN"/>
              </w:rPr>
              <w:t>资料清单（电子版）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86" w:hRule="atLeast"/>
        </w:trPr>
        <w:tc>
          <w:tcPr>
            <w:tcW w:w="845"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1</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vertAlign w:val="baseline"/>
                <w:lang w:val="en-US" w:eastAsia="zh-CN"/>
              </w:rPr>
            </w:pPr>
            <w:r>
              <w:rPr>
                <w:rFonts w:hint="eastAsia" w:ascii="宋体" w:hAnsi="宋体" w:eastAsia="宋体" w:cs="宋体"/>
                <w:i w:val="0"/>
                <w:color w:val="auto"/>
                <w:kern w:val="0"/>
                <w:sz w:val="24"/>
                <w:szCs w:val="24"/>
                <w:u w:val="none"/>
                <w:lang w:val="en-US" w:eastAsia="zh-CN" w:bidi="ar"/>
              </w:rPr>
              <w:t>社会评价，客户对企业的评价</w:t>
            </w:r>
          </w:p>
        </w:tc>
        <w:tc>
          <w:tcPr>
            <w:tcW w:w="4890" w:type="dxa"/>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i w:val="0"/>
                <w:color w:val="auto"/>
                <w:kern w:val="0"/>
                <w:sz w:val="24"/>
                <w:szCs w:val="24"/>
                <w:u w:val="none"/>
                <w:lang w:val="en-US" w:eastAsia="zh-CN" w:bidi="ar"/>
              </w:rPr>
            </w:pPr>
            <w:r>
              <w:rPr>
                <w:rFonts w:hint="eastAsia" w:ascii="宋体" w:hAnsi="宋体" w:eastAsia="宋体" w:cs="宋体"/>
                <w:i w:val="0"/>
                <w:color w:val="auto"/>
                <w:kern w:val="0"/>
                <w:sz w:val="24"/>
                <w:szCs w:val="24"/>
                <w:u w:val="none"/>
                <w:lang w:val="en-US" w:eastAsia="zh-CN" w:bidi="ar"/>
              </w:rPr>
              <w:t>选取三个1000万元以上项目（尽量满足两个国有资金投资项目，两个结算审核项目）进行客户评价调查，项目类型包括土建、安装、装饰、市政等至少两种，咨询类型包括结算审核、工程量清单及招标控制价编制等。如全部项目都不满足上述条件，由企业自行调整并作说明。</w:t>
            </w:r>
          </w:p>
        </w:tc>
        <w:tc>
          <w:tcPr>
            <w:tcW w:w="5304" w:type="dxa"/>
            <w:vMerge w:val="restart"/>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i w:val="0"/>
                <w:color w:val="auto"/>
                <w:kern w:val="0"/>
                <w:sz w:val="24"/>
                <w:szCs w:val="24"/>
                <w:u w:val="none"/>
                <w:lang w:val="en-US" w:eastAsia="zh-CN" w:bidi="ar"/>
              </w:rPr>
            </w:pPr>
            <w:r>
              <w:rPr>
                <w:rFonts w:hint="eastAsia" w:ascii="宋体" w:hAnsi="宋体" w:eastAsia="宋体" w:cs="宋体"/>
                <w:i w:val="0"/>
                <w:color w:val="auto"/>
                <w:kern w:val="0"/>
                <w:sz w:val="24"/>
                <w:szCs w:val="24"/>
                <w:u w:val="none"/>
                <w:lang w:val="en-US" w:eastAsia="zh-CN" w:bidi="ar"/>
              </w:rPr>
              <w:t>1.项目委托书或合同扫描件；</w:t>
            </w: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i w:val="0"/>
                <w:color w:val="auto"/>
                <w:kern w:val="0"/>
                <w:sz w:val="24"/>
                <w:szCs w:val="24"/>
                <w:u w:val="none"/>
                <w:lang w:val="en-US" w:eastAsia="zh-CN" w:bidi="ar"/>
              </w:rPr>
            </w:pPr>
            <w:r>
              <w:rPr>
                <w:rFonts w:hint="eastAsia" w:ascii="宋体" w:hAnsi="宋体" w:eastAsia="宋体" w:cs="宋体"/>
                <w:i w:val="0"/>
                <w:color w:val="auto"/>
                <w:kern w:val="0"/>
                <w:sz w:val="24"/>
                <w:szCs w:val="24"/>
                <w:u w:val="none"/>
                <w:lang w:val="en-US" w:eastAsia="zh-CN" w:bidi="ar"/>
              </w:rPr>
              <w:t>2.项目咨询方案或作业计划书扫描件；</w:t>
            </w: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i w:val="0"/>
                <w:color w:val="auto"/>
                <w:kern w:val="0"/>
                <w:sz w:val="24"/>
                <w:szCs w:val="24"/>
                <w:u w:val="none"/>
                <w:lang w:val="en-US" w:eastAsia="zh-CN" w:bidi="ar"/>
              </w:rPr>
            </w:pPr>
            <w:r>
              <w:rPr>
                <w:rFonts w:hint="eastAsia" w:ascii="宋体" w:hAnsi="宋体" w:eastAsia="宋体" w:cs="宋体"/>
                <w:i w:val="0"/>
                <w:color w:val="auto"/>
                <w:kern w:val="0"/>
                <w:sz w:val="24"/>
                <w:szCs w:val="24"/>
                <w:u w:val="none"/>
                <w:lang w:val="en-US" w:eastAsia="zh-CN" w:bidi="ar"/>
              </w:rPr>
              <w:t>3.造价成果文件（含三级审核意见）扫描件；</w:t>
            </w: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i w:val="0"/>
                <w:color w:val="auto"/>
                <w:kern w:val="0"/>
                <w:sz w:val="24"/>
                <w:szCs w:val="24"/>
                <w:u w:val="none"/>
                <w:lang w:val="en-US" w:eastAsia="zh-CN" w:bidi="ar"/>
              </w:rPr>
            </w:pPr>
            <w:r>
              <w:rPr>
                <w:rFonts w:hint="eastAsia" w:ascii="宋体" w:hAnsi="宋体" w:eastAsia="宋体" w:cs="宋体"/>
                <w:i w:val="0"/>
                <w:color w:val="auto"/>
                <w:kern w:val="0"/>
                <w:sz w:val="24"/>
                <w:szCs w:val="24"/>
                <w:u w:val="none"/>
                <w:lang w:val="en-US" w:eastAsia="zh-CN" w:bidi="ar"/>
              </w:rPr>
              <w:t>4.委托单位意见表扫描件。</w:t>
            </w: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i w:val="0"/>
                <w:color w:val="auto"/>
                <w:kern w:val="0"/>
                <w:sz w:val="24"/>
                <w:szCs w:val="24"/>
                <w:u w:val="none"/>
                <w:lang w:val="en-US" w:eastAsia="zh-CN" w:bidi="ar"/>
              </w:rPr>
            </w:pPr>
            <w:r>
              <w:rPr>
                <w:rFonts w:hint="eastAsia" w:ascii="宋体" w:hAnsi="宋体" w:eastAsia="宋体" w:cs="宋体"/>
                <w:i w:val="0"/>
                <w:color w:val="auto"/>
                <w:kern w:val="0"/>
                <w:sz w:val="24"/>
                <w:szCs w:val="24"/>
                <w:u w:val="none"/>
                <w:lang w:val="en-US" w:eastAsia="zh-CN" w:bidi="ar"/>
              </w:rPr>
              <w:t>（每个项目建立以项目名称命名的文件夹，并设立资料清单目录。）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3" w:hRule="atLeast"/>
        </w:trPr>
        <w:tc>
          <w:tcPr>
            <w:tcW w:w="845"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2</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vertAlign w:val="baseline"/>
                <w:lang w:val="en-US" w:eastAsia="zh-CN"/>
              </w:rPr>
            </w:pPr>
            <w:r>
              <w:rPr>
                <w:rFonts w:hint="eastAsia" w:ascii="宋体" w:hAnsi="宋体" w:eastAsia="宋体" w:cs="宋体"/>
                <w:i w:val="0"/>
                <w:color w:val="auto"/>
                <w:kern w:val="0"/>
                <w:sz w:val="24"/>
                <w:szCs w:val="24"/>
                <w:u w:val="none"/>
                <w:lang w:val="en-US" w:eastAsia="zh-CN" w:bidi="ar"/>
              </w:rPr>
              <w:t>造价咨询业务流程管理</w:t>
            </w:r>
          </w:p>
        </w:tc>
        <w:tc>
          <w:tcPr>
            <w:tcW w:w="4890" w:type="dxa"/>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vertAlign w:val="baseline"/>
                <w:lang w:val="en-US" w:eastAsia="zh-CN"/>
              </w:rPr>
            </w:pPr>
            <w:r>
              <w:rPr>
                <w:rFonts w:hint="eastAsia" w:ascii="宋体" w:hAnsi="宋体" w:eastAsia="宋体" w:cs="宋体"/>
                <w:i w:val="0"/>
                <w:color w:val="auto"/>
                <w:kern w:val="0"/>
                <w:sz w:val="24"/>
                <w:szCs w:val="24"/>
                <w:u w:val="none"/>
                <w:lang w:val="en-US" w:eastAsia="zh-CN" w:bidi="ar"/>
              </w:rPr>
              <w:t>同上。</w:t>
            </w:r>
          </w:p>
        </w:tc>
        <w:tc>
          <w:tcPr>
            <w:tcW w:w="5304" w:type="dxa"/>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8" w:hRule="atLeast"/>
        </w:trPr>
        <w:tc>
          <w:tcPr>
            <w:tcW w:w="845"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3</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vertAlign w:val="baseline"/>
                <w:lang w:val="en-US" w:eastAsia="zh-CN"/>
              </w:rPr>
            </w:pPr>
            <w:r>
              <w:rPr>
                <w:rFonts w:hint="eastAsia" w:ascii="宋体" w:hAnsi="宋体" w:eastAsia="宋体" w:cs="宋体"/>
                <w:i w:val="0"/>
                <w:color w:val="auto"/>
                <w:kern w:val="0"/>
                <w:sz w:val="24"/>
                <w:szCs w:val="24"/>
                <w:u w:val="none"/>
                <w:lang w:val="en-US" w:eastAsia="zh-CN" w:bidi="ar"/>
              </w:rPr>
              <w:t>造价咨询业务成果质量情况</w:t>
            </w:r>
          </w:p>
        </w:tc>
        <w:tc>
          <w:tcPr>
            <w:tcW w:w="4890" w:type="dxa"/>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vertAlign w:val="baseline"/>
                <w:lang w:val="en-US" w:eastAsia="zh-CN"/>
              </w:rPr>
            </w:pPr>
            <w:r>
              <w:rPr>
                <w:rFonts w:hint="eastAsia" w:ascii="宋体" w:hAnsi="宋体" w:eastAsia="宋体" w:cs="宋体"/>
                <w:i w:val="0"/>
                <w:color w:val="auto"/>
                <w:kern w:val="0"/>
                <w:sz w:val="24"/>
                <w:szCs w:val="24"/>
                <w:u w:val="none"/>
                <w:lang w:val="en-US" w:eastAsia="zh-CN" w:bidi="ar"/>
              </w:rPr>
              <w:t>同上。</w:t>
            </w:r>
          </w:p>
        </w:tc>
        <w:tc>
          <w:tcPr>
            <w:tcW w:w="5304" w:type="dxa"/>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845"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4</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vertAlign w:val="baseline"/>
                <w:lang w:val="en-US" w:eastAsia="zh-CN"/>
              </w:rPr>
            </w:pPr>
            <w:r>
              <w:rPr>
                <w:rFonts w:hint="eastAsia" w:ascii="宋体" w:hAnsi="宋体" w:eastAsia="宋体" w:cs="宋体"/>
                <w:b w:val="0"/>
                <w:bCs w:val="0"/>
                <w:i w:val="0"/>
                <w:color w:val="auto"/>
                <w:kern w:val="0"/>
                <w:sz w:val="24"/>
                <w:szCs w:val="24"/>
                <w:u w:val="none"/>
                <w:lang w:val="en-US" w:eastAsia="zh-CN" w:bidi="ar"/>
              </w:rPr>
              <w:t>企业及时缴纳各市协会会费</w:t>
            </w:r>
          </w:p>
        </w:tc>
        <w:tc>
          <w:tcPr>
            <w:tcW w:w="4890" w:type="dxa"/>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vertAlign w:val="baseline"/>
                <w:lang w:val="en-US" w:eastAsia="zh-CN"/>
              </w:rPr>
            </w:pPr>
          </w:p>
        </w:tc>
        <w:tc>
          <w:tcPr>
            <w:tcW w:w="5304" w:type="dxa"/>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收据、付款证明等扫描件或电子图片。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06" w:hRule="atLeast"/>
        </w:trPr>
        <w:tc>
          <w:tcPr>
            <w:tcW w:w="845"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5</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vertAlign w:val="baseline"/>
                <w:lang w:val="en-US" w:eastAsia="zh-CN"/>
              </w:rPr>
            </w:pPr>
            <w:r>
              <w:rPr>
                <w:rFonts w:hint="eastAsia" w:ascii="宋体" w:hAnsi="宋体" w:eastAsia="宋体" w:cs="宋体"/>
                <w:b w:val="0"/>
                <w:bCs w:val="0"/>
                <w:i w:val="0"/>
                <w:color w:val="auto"/>
                <w:kern w:val="0"/>
                <w:sz w:val="24"/>
                <w:szCs w:val="24"/>
                <w:u w:val="none"/>
                <w:lang w:val="en-US" w:eastAsia="zh-CN" w:bidi="ar"/>
              </w:rPr>
              <w:t>省协会自律公约签约及执行情况</w:t>
            </w:r>
          </w:p>
        </w:tc>
        <w:tc>
          <w:tcPr>
            <w:tcW w:w="4890" w:type="dxa"/>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vertAlign w:val="baseline"/>
                <w:lang w:val="en-US" w:eastAsia="zh-CN"/>
              </w:rPr>
            </w:pPr>
            <w:r>
              <w:rPr>
                <w:rFonts w:hint="eastAsia" w:ascii="宋体" w:hAnsi="宋体" w:eastAsia="宋体" w:cs="宋体"/>
                <w:b w:val="0"/>
                <w:bCs w:val="0"/>
                <w:i w:val="0"/>
                <w:color w:val="auto"/>
                <w:sz w:val="24"/>
                <w:szCs w:val="24"/>
                <w:u w:val="none"/>
                <w:lang w:val="en-US" w:eastAsia="zh-CN"/>
              </w:rPr>
              <w:t>签约、违约情况从省协会诚信自律系统中核实。</w:t>
            </w:r>
          </w:p>
        </w:tc>
        <w:tc>
          <w:tcPr>
            <w:tcW w:w="5304" w:type="dxa"/>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自律公约签约书（企业、市协会、省协会三方盖章）扫描件。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74" w:hRule="atLeast"/>
        </w:trPr>
        <w:tc>
          <w:tcPr>
            <w:tcW w:w="845"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6</w:t>
            </w:r>
          </w:p>
        </w:tc>
        <w:tc>
          <w:tcPr>
            <w:tcW w:w="3135" w:type="dxa"/>
            <w:vAlign w:val="center"/>
          </w:tcPr>
          <w:p>
            <w:pPr>
              <w:keepNext w:val="0"/>
              <w:keepLines w:val="0"/>
              <w:widowControl/>
              <w:suppressLineNumbers w:val="0"/>
              <w:ind w:left="0" w:leftChars="0" w:right="0" w:rightChars="0"/>
              <w:jc w:val="both"/>
              <w:textAlignment w:val="center"/>
              <w:rPr>
                <w:rFonts w:hint="eastAsia" w:ascii="宋体" w:hAnsi="宋体" w:eastAsia="宋体" w:cs="宋体"/>
                <w:color w:val="auto"/>
                <w:sz w:val="24"/>
                <w:szCs w:val="24"/>
                <w:vertAlign w:val="baseline"/>
                <w:lang w:val="en-US" w:eastAsia="zh-CN"/>
              </w:rPr>
            </w:pPr>
            <w:r>
              <w:rPr>
                <w:rFonts w:hint="eastAsia" w:ascii="宋体" w:hAnsi="宋体" w:eastAsia="宋体" w:cs="宋体"/>
                <w:b w:val="0"/>
                <w:bCs w:val="0"/>
                <w:i w:val="0"/>
                <w:color w:val="auto"/>
                <w:kern w:val="0"/>
                <w:sz w:val="24"/>
                <w:szCs w:val="24"/>
                <w:u w:val="none"/>
                <w:lang w:val="en-US" w:eastAsia="zh-CN" w:bidi="ar"/>
              </w:rPr>
              <w:t>参加省市协会组织的技能竞赛、课题研究、文体活动等</w:t>
            </w:r>
          </w:p>
        </w:tc>
        <w:tc>
          <w:tcPr>
            <w:tcW w:w="4890" w:type="dxa"/>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vertAlign w:val="baseline"/>
                <w:lang w:val="en-US" w:eastAsia="zh-CN"/>
              </w:rPr>
            </w:pPr>
          </w:p>
        </w:tc>
        <w:tc>
          <w:tcPr>
            <w:tcW w:w="5304" w:type="dxa"/>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宋体" w:hAnsi="宋体" w:eastAsia="宋体" w:cs="宋体"/>
                <w:b/>
                <w:bCs/>
                <w:color w:val="auto"/>
                <w:sz w:val="24"/>
                <w:szCs w:val="24"/>
                <w:vertAlign w:val="baseline"/>
                <w:lang w:val="en-US" w:eastAsia="zh-CN"/>
              </w:rPr>
            </w:pPr>
            <w:r>
              <w:rPr>
                <w:rFonts w:hint="eastAsia" w:ascii="宋体" w:hAnsi="宋体" w:eastAsia="宋体" w:cs="宋体"/>
                <w:b w:val="0"/>
                <w:bCs w:val="0"/>
                <w:i w:val="0"/>
                <w:color w:val="auto"/>
                <w:kern w:val="0"/>
                <w:sz w:val="24"/>
                <w:szCs w:val="24"/>
                <w:u w:val="none"/>
                <w:lang w:val="en-US" w:eastAsia="zh-CN" w:bidi="ar"/>
              </w:rPr>
              <w:t>省市协会会刊、网站、公众号</w:t>
            </w:r>
            <w:r>
              <w:rPr>
                <w:rFonts w:hint="eastAsia" w:ascii="宋体" w:hAnsi="宋体" w:eastAsia="宋体" w:cs="宋体"/>
                <w:color w:val="auto"/>
                <w:sz w:val="24"/>
                <w:szCs w:val="24"/>
                <w:vertAlign w:val="baseline"/>
                <w:lang w:val="en-US" w:eastAsia="zh-CN"/>
              </w:rPr>
              <w:t>上相关的活动报道等的扫描件或电子图片。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41" w:hRule="atLeast"/>
        </w:trPr>
        <w:tc>
          <w:tcPr>
            <w:tcW w:w="845"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7</w:t>
            </w:r>
          </w:p>
        </w:tc>
        <w:tc>
          <w:tcPr>
            <w:tcW w:w="3135" w:type="dxa"/>
            <w:vAlign w:val="center"/>
          </w:tcPr>
          <w:p>
            <w:pPr>
              <w:keepNext w:val="0"/>
              <w:keepLines w:val="0"/>
              <w:widowControl/>
              <w:suppressLineNumbers w:val="0"/>
              <w:ind w:left="0" w:leftChars="0" w:right="0" w:rightChars="0"/>
              <w:jc w:val="both"/>
              <w:textAlignment w:val="center"/>
              <w:rPr>
                <w:rFonts w:hint="eastAsia" w:ascii="宋体" w:hAnsi="宋体" w:eastAsia="宋体" w:cs="宋体"/>
                <w:color w:val="auto"/>
                <w:sz w:val="24"/>
                <w:szCs w:val="24"/>
                <w:vertAlign w:val="baseline"/>
                <w:lang w:val="en-US" w:eastAsia="zh-CN"/>
              </w:rPr>
            </w:pPr>
            <w:r>
              <w:rPr>
                <w:rFonts w:hint="eastAsia" w:ascii="宋体" w:hAnsi="宋体" w:eastAsia="宋体" w:cs="宋体"/>
                <w:b w:val="0"/>
                <w:bCs w:val="0"/>
                <w:i w:val="0"/>
                <w:color w:val="auto"/>
                <w:kern w:val="0"/>
                <w:sz w:val="24"/>
                <w:szCs w:val="24"/>
                <w:u w:val="none"/>
                <w:lang w:val="en-US" w:eastAsia="zh-CN" w:bidi="ar"/>
              </w:rPr>
              <w:t>在省市协会会刊、网站、公众号上发表相关的论文、案例、通讯稿等</w:t>
            </w:r>
          </w:p>
        </w:tc>
        <w:tc>
          <w:tcPr>
            <w:tcW w:w="4890" w:type="dxa"/>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vertAlign w:val="baseline"/>
                <w:lang w:val="en-US" w:eastAsia="zh-CN"/>
              </w:rPr>
            </w:pPr>
          </w:p>
        </w:tc>
        <w:tc>
          <w:tcPr>
            <w:tcW w:w="5304" w:type="dxa"/>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宋体" w:hAnsi="宋体" w:eastAsia="宋体" w:cs="宋体"/>
                <w:color w:val="auto"/>
                <w:sz w:val="24"/>
                <w:szCs w:val="24"/>
                <w:vertAlign w:val="baseline"/>
                <w:lang w:val="en-US" w:eastAsia="zh-CN"/>
              </w:rPr>
            </w:pPr>
            <w:r>
              <w:rPr>
                <w:rFonts w:hint="eastAsia" w:ascii="宋体" w:hAnsi="宋体" w:eastAsia="宋体" w:cs="宋体"/>
                <w:b w:val="0"/>
                <w:bCs w:val="0"/>
                <w:i w:val="0"/>
                <w:color w:val="auto"/>
                <w:kern w:val="0"/>
                <w:sz w:val="24"/>
                <w:szCs w:val="24"/>
                <w:u w:val="none"/>
                <w:lang w:val="en-US" w:eastAsia="zh-CN" w:bidi="ar"/>
              </w:rPr>
              <w:t>省市协会会刊、网站、公众号上发表的相关通知、文档等的</w:t>
            </w:r>
            <w:r>
              <w:rPr>
                <w:rFonts w:hint="eastAsia" w:ascii="宋体" w:hAnsi="宋体" w:eastAsia="宋体" w:cs="宋体"/>
                <w:color w:val="auto"/>
                <w:sz w:val="24"/>
                <w:szCs w:val="24"/>
                <w:vertAlign w:val="baseline"/>
                <w:lang w:val="en-US" w:eastAsia="zh-CN"/>
              </w:rPr>
              <w:t>扫描件或电子图片。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09" w:hRule="atLeast"/>
        </w:trPr>
        <w:tc>
          <w:tcPr>
            <w:tcW w:w="845"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8</w:t>
            </w:r>
          </w:p>
        </w:tc>
        <w:tc>
          <w:tcPr>
            <w:tcW w:w="3135" w:type="dxa"/>
            <w:vAlign w:val="center"/>
          </w:tcPr>
          <w:p>
            <w:pPr>
              <w:keepNext w:val="0"/>
              <w:keepLines w:val="0"/>
              <w:widowControl/>
              <w:suppressLineNumbers w:val="0"/>
              <w:ind w:left="0" w:leftChars="0" w:right="0" w:rightChars="0"/>
              <w:jc w:val="both"/>
              <w:textAlignment w:val="center"/>
              <w:rPr>
                <w:rFonts w:hint="eastAsia" w:ascii="宋体" w:hAnsi="宋体" w:eastAsia="宋体" w:cs="宋体"/>
                <w:color w:val="auto"/>
                <w:sz w:val="24"/>
                <w:szCs w:val="24"/>
                <w:vertAlign w:val="baseline"/>
                <w:lang w:val="en-US" w:eastAsia="zh-CN"/>
              </w:rPr>
            </w:pPr>
            <w:r>
              <w:rPr>
                <w:rFonts w:hint="eastAsia" w:ascii="宋体" w:hAnsi="宋体" w:eastAsia="宋体" w:cs="宋体"/>
                <w:b w:val="0"/>
                <w:bCs w:val="0"/>
                <w:i w:val="0"/>
                <w:color w:val="auto"/>
                <w:kern w:val="0"/>
                <w:sz w:val="24"/>
                <w:szCs w:val="24"/>
                <w:u w:val="none"/>
                <w:lang w:val="en-US" w:eastAsia="zh-CN" w:bidi="ar"/>
              </w:rPr>
              <w:t>省市协会公开表彰企业或企业从业人员</w:t>
            </w:r>
          </w:p>
        </w:tc>
        <w:tc>
          <w:tcPr>
            <w:tcW w:w="4890" w:type="dxa"/>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vertAlign w:val="baseline"/>
                <w:lang w:val="en-US" w:eastAsia="zh-CN"/>
              </w:rPr>
            </w:pPr>
          </w:p>
        </w:tc>
        <w:tc>
          <w:tcPr>
            <w:tcW w:w="5304" w:type="dxa"/>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vertAlign w:val="baseline"/>
                <w:lang w:val="en-US" w:eastAsia="zh-CN"/>
              </w:rPr>
            </w:pPr>
            <w:r>
              <w:rPr>
                <w:rFonts w:hint="eastAsia" w:ascii="宋体" w:hAnsi="宋体" w:eastAsia="宋体" w:cs="宋体"/>
                <w:b w:val="0"/>
                <w:bCs w:val="0"/>
                <w:i w:val="0"/>
                <w:color w:val="auto"/>
                <w:kern w:val="0"/>
                <w:sz w:val="24"/>
                <w:szCs w:val="24"/>
                <w:u w:val="none"/>
                <w:lang w:val="en-US" w:eastAsia="zh-CN" w:bidi="ar"/>
              </w:rPr>
              <w:t>省市协会会刊、网站、公众号上发表的相关表彰通知等的</w:t>
            </w:r>
            <w:r>
              <w:rPr>
                <w:rFonts w:hint="eastAsia" w:ascii="宋体" w:hAnsi="宋体" w:eastAsia="宋体" w:cs="宋体"/>
                <w:color w:val="auto"/>
                <w:sz w:val="24"/>
                <w:szCs w:val="24"/>
                <w:vertAlign w:val="baseline"/>
                <w:lang w:val="en-US" w:eastAsia="zh-CN"/>
              </w:rPr>
              <w:t>扫描件或电子图片。</w:t>
            </w:r>
          </w:p>
        </w:tc>
      </w:tr>
    </w:tbl>
    <w:p>
      <w:pPr>
        <w:rPr>
          <w:rFonts w:hint="default"/>
          <w:lang w:val="en-US" w:eastAsia="zh-CN"/>
        </w:rPr>
      </w:pPr>
    </w:p>
    <w:p>
      <w:pPr>
        <w:keepNext w:val="0"/>
        <w:keepLines w:val="0"/>
        <w:pageBreakBefore w:val="0"/>
        <w:widowControl w:val="0"/>
        <w:kinsoku/>
        <w:wordWrap/>
        <w:overflowPunct/>
        <w:topLinePunct w:val="0"/>
        <w:autoSpaceDE w:val="0"/>
        <w:autoSpaceDN w:val="0"/>
        <w:bidi w:val="0"/>
        <w:adjustRightInd w:val="0"/>
        <w:snapToGrid/>
        <w:spacing w:line="360" w:lineRule="auto"/>
        <w:textAlignment w:val="auto"/>
        <w:rPr>
          <w:rFonts w:hint="default"/>
          <w:sz w:val="24"/>
          <w:szCs w:val="24"/>
          <w:lang w:val="en-US" w:eastAsia="zh-CN"/>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default" w:ascii="宋体" w:hAnsi="宋体" w:eastAsia="微软雅黑" w:cs="宋体"/>
          <w:kern w:val="2"/>
          <w:sz w:val="24"/>
          <w:szCs w:val="24"/>
          <w:lang w:val="en-US" w:eastAsia="zh-CN" w:bidi="ar-SA"/>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MingLiU">
    <w:panose1 w:val="02020509000000000000"/>
    <w:charset w:val="88"/>
    <w:family w:val="auto"/>
    <w:pitch w:val="default"/>
    <w:sig w:usb0="A00002FF" w:usb1="28CFFCFA" w:usb2="00000016" w:usb3="00000000" w:csb0="00100001" w:csb1="00000000"/>
  </w:font>
  <w:font w:name="Arial Narrow">
    <w:panose1 w:val="020B0606020202030204"/>
    <w:charset w:val="00"/>
    <w:family w:val="auto"/>
    <w:pitch w:val="default"/>
    <w:sig w:usb0="00000287" w:usb1="00000800" w:usb2="00000000" w:usb3="00000000" w:csb0="2000009F" w:csb1="DFD70000"/>
  </w:font>
  <w:font w:name="等线 Light">
    <w:altName w:val="宋体"/>
    <w:panose1 w:val="02010600030101010101"/>
    <w:charset w:val="86"/>
    <w:family w:val="auto"/>
    <w:pitch w:val="default"/>
    <w:sig w:usb0="00000000" w:usb1="00000000" w:usb2="00000016" w:usb3="00000000" w:csb0="0004000F" w:csb1="00000000"/>
  </w:font>
  <w:font w:name="新宋体">
    <w:panose1 w:val="02010609030101010101"/>
    <w:charset w:val="86"/>
    <w:family w:val="auto"/>
    <w:pitch w:val="default"/>
    <w:sig w:usb0="00000003" w:usb1="288F0000" w:usb2="00000006" w:usb3="00000000" w:csb0="00040001" w:csb1="00000000"/>
  </w:font>
  <w:font w:name="Microsoft YaHei UI Light">
    <w:altName w:val="宋体"/>
    <w:panose1 w:val="020B0502040204020203"/>
    <w:charset w:val="86"/>
    <w:family w:val="auto"/>
    <w:pitch w:val="default"/>
    <w:sig w:usb0="00000000" w:usb1="00000000" w:usb2="00000016" w:usb3="00000000" w:csb0="0004001F" w:csb1="00000000"/>
  </w:font>
  <w:font w:name="Microsoft YaHei UI">
    <w:altName w:val="宋体"/>
    <w:panose1 w:val="020B0503020204020204"/>
    <w:charset w:val="86"/>
    <w:family w:val="auto"/>
    <w:pitch w:val="default"/>
    <w:sig w:usb0="00000000" w:usb1="00000000" w:usb2="00000016" w:usb3="00000000" w:csb0="0004001F" w:csb1="00000000"/>
  </w:font>
  <w:font w:name="Malgun Gothic Semilight">
    <w:altName w:val="宋体"/>
    <w:panose1 w:val="020B0502040204020203"/>
    <w:charset w:val="86"/>
    <w:family w:val="auto"/>
    <w:pitch w:val="default"/>
    <w:sig w:usb0="00000000" w:usb1="00000000" w:usb2="00000012" w:usb3="00000000" w:csb0="203E01BD" w:csb1="D7FF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4"/>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704CB23"/>
    <w:multiLevelType w:val="singleLevel"/>
    <w:tmpl w:val="B704CB23"/>
    <w:lvl w:ilvl="0" w:tentative="0">
      <w:start w:val="1"/>
      <w:numFmt w:val="decimal"/>
      <w:suff w:val="nothing"/>
      <w:lvlText w:val="%1、"/>
      <w:lvlJc w:val="left"/>
    </w:lvl>
  </w:abstractNum>
  <w:abstractNum w:abstractNumId="1">
    <w:nsid w:val="F1F04A47"/>
    <w:multiLevelType w:val="singleLevel"/>
    <w:tmpl w:val="F1F04A47"/>
    <w:lvl w:ilvl="0" w:tentative="0">
      <w:start w:val="1"/>
      <w:numFmt w:val="decimal"/>
      <w:lvlText w:val="%1."/>
      <w:lvlJc w:val="left"/>
      <w:pPr>
        <w:tabs>
          <w:tab w:val="left" w:pos="312"/>
        </w:tabs>
      </w:pPr>
    </w:lvl>
  </w:abstractNum>
  <w:abstractNum w:abstractNumId="2">
    <w:nsid w:val="FF250D9E"/>
    <w:multiLevelType w:val="singleLevel"/>
    <w:tmpl w:val="FF250D9E"/>
    <w:lvl w:ilvl="0" w:tentative="0">
      <w:start w:val="1"/>
      <w:numFmt w:val="decimal"/>
      <w:suff w:val="nothing"/>
      <w:lvlText w:val="%1、"/>
      <w:lvlJc w:val="left"/>
    </w:lvl>
  </w:abstractNum>
  <w:abstractNum w:abstractNumId="3">
    <w:nsid w:val="062873F9"/>
    <w:multiLevelType w:val="singleLevel"/>
    <w:tmpl w:val="062873F9"/>
    <w:lvl w:ilvl="0" w:tentative="0">
      <w:start w:val="2"/>
      <w:numFmt w:val="decimal"/>
      <w:suff w:val="nothing"/>
      <w:lvlText w:val="%1、"/>
      <w:lvlJc w:val="left"/>
      <w:pPr>
        <w:ind w:left="525" w:leftChars="0" w:firstLine="0" w:firstLineChars="0"/>
      </w:pPr>
    </w:lvl>
  </w:abstractNum>
  <w:abstractNum w:abstractNumId="4">
    <w:nsid w:val="535CBB1D"/>
    <w:multiLevelType w:val="singleLevel"/>
    <w:tmpl w:val="535CBB1D"/>
    <w:lvl w:ilvl="0" w:tentative="0">
      <w:start w:val="1"/>
      <w:numFmt w:val="decimal"/>
      <w:suff w:val="nothing"/>
      <w:lvlText w:val="%1、"/>
      <w:lvlJc w:val="left"/>
    </w:lvl>
  </w:abstractNum>
  <w:num w:numId="1">
    <w:abstractNumId w:val="1"/>
  </w:num>
  <w:num w:numId="2">
    <w:abstractNumId w:val="3"/>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113A22"/>
    <w:rsid w:val="084D4D80"/>
    <w:rsid w:val="0D11386F"/>
    <w:rsid w:val="11FE2A60"/>
    <w:rsid w:val="12193F3D"/>
    <w:rsid w:val="1341105A"/>
    <w:rsid w:val="15DC4E59"/>
    <w:rsid w:val="165243B5"/>
    <w:rsid w:val="180D4EC1"/>
    <w:rsid w:val="1C5913AA"/>
    <w:rsid w:val="1DE74CCE"/>
    <w:rsid w:val="1E561C3F"/>
    <w:rsid w:val="1FFB2BF4"/>
    <w:rsid w:val="212210DF"/>
    <w:rsid w:val="265E5F66"/>
    <w:rsid w:val="26E51FE1"/>
    <w:rsid w:val="279A32CF"/>
    <w:rsid w:val="2FBB636E"/>
    <w:rsid w:val="37BD2E4D"/>
    <w:rsid w:val="3CF45E2F"/>
    <w:rsid w:val="3F494384"/>
    <w:rsid w:val="43BF4E28"/>
    <w:rsid w:val="46B42FEE"/>
    <w:rsid w:val="46E73024"/>
    <w:rsid w:val="487166DD"/>
    <w:rsid w:val="4A3C456A"/>
    <w:rsid w:val="4A67133D"/>
    <w:rsid w:val="4E115C8F"/>
    <w:rsid w:val="52A74331"/>
    <w:rsid w:val="5CF50EBA"/>
    <w:rsid w:val="645F12A8"/>
    <w:rsid w:val="64FC3CFA"/>
    <w:rsid w:val="674F3D97"/>
    <w:rsid w:val="67835B1F"/>
    <w:rsid w:val="69C84FC9"/>
    <w:rsid w:val="6A844301"/>
    <w:rsid w:val="70A723E6"/>
    <w:rsid w:val="76E93ACB"/>
    <w:rsid w:val="7A8A6480"/>
    <w:rsid w:val="7A9214D7"/>
    <w:rsid w:val="7DB252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1"/>
    <w:pPr>
      <w:spacing w:before="163"/>
      <w:ind w:left="141" w:right="219"/>
      <w:outlineLvl w:val="2"/>
    </w:pPr>
    <w:rPr>
      <w:rFonts w:ascii="宋体" w:hAnsi="宋体" w:eastAsia="宋体" w:cs="宋体"/>
      <w:b/>
      <w:bCs/>
      <w:sz w:val="36"/>
      <w:szCs w:val="36"/>
      <w:lang w:val="zh-CN" w:eastAsia="zh-CN" w:bidi="zh-CN"/>
    </w:rPr>
  </w:style>
  <w:style w:type="character" w:default="1" w:styleId="8">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3">
    <w:name w:val="Normal Indent"/>
    <w:basedOn w:val="1"/>
    <w:qFormat/>
    <w:uiPriority w:val="99"/>
    <w:pPr>
      <w:spacing w:line="460" w:lineRule="atLeast"/>
      <w:ind w:firstLine="420" w:firstLineChars="200"/>
    </w:pPr>
    <w:rPr>
      <w:rFonts w:ascii="Calibri" w:hAnsi="Calibri" w:eastAsia="宋体" w:cs="Times New Roman"/>
      <w:bCs/>
      <w:kern w:val="0"/>
      <w:sz w:val="24"/>
      <w:szCs w:val="24"/>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table" w:styleId="7">
    <w:name w:val="Table Grid"/>
    <w:basedOn w:val="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9">
    <w:name w:val="Strong"/>
    <w:basedOn w:val="8"/>
    <w:qFormat/>
    <w:uiPriority w:val="0"/>
    <w:rPr>
      <w:b/>
    </w:rPr>
  </w:style>
  <w:style w:type="character" w:styleId="10">
    <w:name w:val="Hyperlink"/>
    <w:basedOn w:val="8"/>
    <w:qFormat/>
    <w:uiPriority w:val="0"/>
    <w:rPr>
      <w:color w:val="0000FF"/>
      <w:u w:val="single"/>
    </w:rPr>
  </w:style>
  <w:style w:type="paragraph" w:customStyle="1" w:styleId="11">
    <w:name w:val="Body text|1"/>
    <w:basedOn w:val="1"/>
    <w:qFormat/>
    <w:uiPriority w:val="0"/>
    <w:pPr>
      <w:widowControl w:val="0"/>
      <w:shd w:val="clear" w:color="auto" w:fill="auto"/>
      <w:spacing w:line="346" w:lineRule="auto"/>
      <w:ind w:firstLine="400"/>
    </w:pPr>
    <w:rPr>
      <w:rFonts w:ascii="MingLiU" w:hAnsi="MingLiU" w:eastAsia="MingLiU" w:cs="MingLiU"/>
      <w:sz w:val="20"/>
      <w:szCs w:val="20"/>
      <w:u w:val="none"/>
      <w:shd w:val="clear" w:color="auto" w:fill="auto"/>
      <w:lang w:val="zh-TW" w:eastAsia="zh-TW" w:bidi="zh-TW"/>
    </w:rPr>
  </w:style>
  <w:style w:type="paragraph" w:customStyle="1" w:styleId="12">
    <w:name w:val="正文（无缩进）"/>
    <w:basedOn w:val="1"/>
    <w:qFormat/>
    <w:uiPriority w:val="99"/>
    <w:pPr>
      <w:spacing w:line="460" w:lineRule="atLeast"/>
      <w:ind w:firstLine="480" w:firstLineChars="200"/>
    </w:pPr>
    <w:rPr>
      <w:rFonts w:ascii="Calibri" w:hAnsi="Calibri" w:eastAsia="宋体" w:cs="Times New Roman"/>
      <w:bCs/>
      <w:kern w:val="0"/>
      <w:sz w:val="24"/>
      <w:szCs w:val="21"/>
    </w:rPr>
  </w:style>
  <w:style w:type="character" w:customStyle="1" w:styleId="13">
    <w:name w:val="font51"/>
    <w:basedOn w:val="8"/>
    <w:qFormat/>
    <w:uiPriority w:val="0"/>
    <w:rPr>
      <w:rFonts w:hint="eastAsia" w:ascii="宋体" w:hAnsi="宋体" w:eastAsia="宋体" w:cs="宋体"/>
      <w:color w:val="000000"/>
      <w:sz w:val="20"/>
      <w:szCs w:val="20"/>
      <w:u w:val="none"/>
    </w:rPr>
  </w:style>
  <w:style w:type="character" w:customStyle="1" w:styleId="14">
    <w:name w:val="font61"/>
    <w:basedOn w:val="8"/>
    <w:qFormat/>
    <w:uiPriority w:val="0"/>
    <w:rPr>
      <w:rFonts w:hint="default" w:ascii="Arial Narrow" w:hAnsi="Arial Narrow" w:eastAsia="Arial Narrow" w:cs="Arial Narrow"/>
      <w:color w:val="000000"/>
      <w:sz w:val="20"/>
      <w:szCs w:val="20"/>
      <w:u w:val="none"/>
    </w:rPr>
  </w:style>
  <w:style w:type="character" w:customStyle="1" w:styleId="15">
    <w:name w:val="font81"/>
    <w:basedOn w:val="8"/>
    <w:qFormat/>
    <w:uiPriority w:val="0"/>
    <w:rPr>
      <w:rFonts w:hint="default" w:ascii="Arial Narrow" w:hAnsi="Arial Narrow" w:eastAsia="Arial Narrow" w:cs="Arial Narrow"/>
      <w:color w:val="000000"/>
      <w:sz w:val="20"/>
      <w:szCs w:val="20"/>
      <w:u w:val="none"/>
      <w:vertAlign w:val="subscript"/>
    </w:rPr>
  </w:style>
  <w:style w:type="character" w:customStyle="1" w:styleId="16">
    <w:name w:val="font21"/>
    <w:basedOn w:val="8"/>
    <w:qFormat/>
    <w:uiPriority w:val="0"/>
    <w:rPr>
      <w:rFonts w:hint="eastAsia" w:ascii="宋体" w:hAnsi="宋体" w:eastAsia="宋体" w:cs="宋体"/>
      <w:color w:val="000000"/>
      <w:sz w:val="20"/>
      <w:szCs w:val="20"/>
      <w:u w:val="none"/>
      <w:vertAlign w:val="subscript"/>
    </w:rPr>
  </w:style>
  <w:style w:type="character" w:customStyle="1" w:styleId="17">
    <w:name w:val="font11"/>
    <w:basedOn w:val="8"/>
    <w:qFormat/>
    <w:uiPriority w:val="0"/>
    <w:rPr>
      <w:rFonts w:hint="eastAsia" w:ascii="宋体" w:hAnsi="宋体" w:eastAsia="宋体" w:cs="宋体"/>
      <w:color w:val="000000"/>
      <w:sz w:val="20"/>
      <w:szCs w:val="20"/>
      <w:u w:val="none"/>
    </w:rPr>
  </w:style>
  <w:style w:type="character" w:customStyle="1" w:styleId="18">
    <w:name w:val="font01"/>
    <w:basedOn w:val="8"/>
    <w:qFormat/>
    <w:uiPriority w:val="0"/>
    <w:rPr>
      <w:rFonts w:ascii="等线 Light" w:hAnsi="等线 Light" w:eastAsia="等线 Light" w:cs="等线 Light"/>
      <w:color w:val="000000"/>
      <w:sz w:val="20"/>
      <w:szCs w:val="20"/>
      <w:u w:val="none"/>
    </w:rPr>
  </w:style>
  <w:style w:type="character" w:customStyle="1" w:styleId="19">
    <w:name w:val="font41"/>
    <w:basedOn w:val="8"/>
    <w:qFormat/>
    <w:uiPriority w:val="0"/>
    <w:rPr>
      <w:rFonts w:ascii="等线 Light" w:hAnsi="等线 Light" w:eastAsia="等线 Light" w:cs="等线 Light"/>
      <w:color w:val="000000"/>
      <w:sz w:val="20"/>
      <w:szCs w:val="20"/>
      <w:u w:val="none"/>
    </w:rPr>
  </w:style>
  <w:style w:type="character" w:customStyle="1" w:styleId="20">
    <w:name w:val="font71"/>
    <w:basedOn w:val="8"/>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28</Pages>
  <Words>14240</Words>
  <Characters>15052</Characters>
  <Lines>0</Lines>
  <Paragraphs>0</Paragraphs>
  <TotalTime>3</TotalTime>
  <ScaleCrop>false</ScaleCrop>
  <LinksUpToDate>false</LinksUpToDate>
  <CharactersWithSpaces>16344</CharactersWithSpaces>
  <Application>WPS Office_11.1.0.8976_F1E327BC-269C-435d-A152-05C5408002CA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2019-09-24T06:06:00Z</dcterms:created>
  <dc:creator>DELL</dc:creator>
  <cp:lastModifiedBy>DELL</cp:lastModifiedBy>
  <dcterms:modified xsi:type="dcterms:W3CDTF">2019-10-12T04:24:20Z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2052-11.1.0.8976</vt:lpwstr>
  </property>
</Properties>
</file>