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/>
        <w:jc w:val="left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right="210" w:right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kern w:val="0"/>
          <w:sz w:val="44"/>
          <w:szCs w:val="44"/>
          <w:u w:val="none"/>
          <w:lang w:val="en-US" w:eastAsia="zh-CN" w:bidi="ar"/>
        </w:rPr>
        <w:t>主题演讲评分标准</w:t>
      </w:r>
    </w:p>
    <w:bookmarkEnd w:id="0"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auto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主题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内容(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分):主题鲜明，层次清晰，详略得当，能结合实际切合主题，旁征博引。要有个人特点、缜密的思维及逻辑性。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语言表达(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分):脱稿演讲，吐字清晰，普通话标准，表达流畅、生动，语速适中，语调抑扬顿挫，饱含感情。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仪表风范(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分):仪表端庄，表情自然，形体动作大方得体。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现场感染力(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分):有较强的现场感染力，能引起评委的共鸣。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时间掌握(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分):演讲时间为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分钟。超过规定时间酌情扣分。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整体效果 (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分)。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7.演讲得分：去掉一个最高分，去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掉一个最低分，取平均分，保留两位小数。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Chars="0" w:firstLine="640" w:firstLineChars="200"/>
        <w:textAlignment w:val="auto"/>
        <w:rPr>
          <w:rFonts w:hint="default" w:ascii="仿宋" w:hAnsi="仿宋" w:eastAsia="仿宋" w:cs="仿宋"/>
          <w:b/>
          <w:bCs/>
          <w:i w:val="0"/>
          <w:caps w:val="0"/>
          <w:color w:val="auto"/>
          <w:spacing w:val="0"/>
          <w:kern w:val="0"/>
          <w:sz w:val="32"/>
          <w:szCs w:val="32"/>
          <w:u w:val="none"/>
          <w:lang w:val="en-US" w:eastAsia="zh-CN" w:bidi="ar"/>
        </w:rPr>
        <w:sectPr>
          <w:pgSz w:w="11906" w:h="16838"/>
          <w:pgMar w:top="1440" w:right="1803" w:bottom="1440" w:left="1803" w:header="851" w:footer="992" w:gutter="0"/>
          <w:cols w:space="0" w:num="1"/>
          <w:rtlGutter w:val="0"/>
          <w:docGrid w:type="lines" w:linePitch="319" w:charSpace="0"/>
        </w:sect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8.最终计分：评委按100分制打分，演讲单项得分按25%比例，折算计入总分。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A02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2021-04-23T05:14:03Z</dcterms:created>
  <dc:creator>Administrator</dc:creator>
  <cp:lastModifiedBy>鱼小姐</cp:lastModifiedBy>
  <dcterms:modified xsi:type="dcterms:W3CDTF">2021-04-23T05:15:17Z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A6E87812C78A4ACCBC5D2DB37B9EBF46</vt:lpwstr>
  </property>
</Properties>
</file>