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新宋体" w:hAnsi="新宋体" w:eastAsia="新宋体" w:cs="新宋体"/>
          <w:b/>
          <w:bCs/>
          <w:color w:val="auto"/>
          <w:sz w:val="30"/>
          <w:szCs w:val="30"/>
          <w:lang w:val="en-US" w:eastAsia="zh-CN"/>
        </w:rPr>
      </w:pPr>
      <w:r>
        <w:rPr>
          <w:rFonts w:hint="eastAsia" w:ascii="新宋体" w:hAnsi="新宋体" w:eastAsia="新宋体" w:cs="新宋体"/>
          <w:b/>
          <w:bCs/>
          <w:color w:val="auto"/>
          <w:sz w:val="30"/>
          <w:szCs w:val="30"/>
          <w:lang w:val="en-US" w:eastAsia="zh-CN"/>
        </w:rPr>
        <w:t>浙江省建设工程造价管理协会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default" w:ascii="新宋体" w:hAnsi="新宋体" w:eastAsia="新宋体" w:cs="新宋体"/>
          <w:b/>
          <w:bCs/>
          <w:color w:val="auto"/>
          <w:kern w:val="2"/>
          <w:sz w:val="30"/>
          <w:szCs w:val="30"/>
          <w:lang w:val="en-US" w:eastAsia="zh-CN" w:bidi="ar-SA"/>
        </w:rPr>
      </w:pPr>
      <w:r>
        <w:rPr>
          <w:rFonts w:hint="eastAsia" w:ascii="新宋体" w:hAnsi="新宋体" w:eastAsia="新宋体" w:cs="新宋体"/>
          <w:b/>
          <w:bCs/>
          <w:color w:val="auto"/>
          <w:sz w:val="30"/>
          <w:szCs w:val="30"/>
          <w:lang w:val="en-US" w:eastAsia="zh-CN"/>
        </w:rPr>
        <w:t>关于开展2021年第三季度中价协信用评价工作</w:t>
      </w:r>
      <w:r>
        <w:rPr>
          <w:rFonts w:hint="eastAsia" w:ascii="新宋体" w:hAnsi="新宋体" w:eastAsia="新宋体" w:cs="新宋体"/>
          <w:b/>
          <w:bCs/>
          <w:color w:val="auto"/>
          <w:kern w:val="2"/>
          <w:sz w:val="30"/>
          <w:szCs w:val="30"/>
          <w:lang w:val="en-US" w:eastAsia="zh-CN" w:bidi="ar-SA"/>
        </w:rPr>
        <w:t>的通知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各中价协会员单位：</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482"/>
        <w:jc w:val="left"/>
        <w:textAlignment w:val="auto"/>
        <w:rPr>
          <w:rFonts w:hint="default" w:ascii="宋体" w:hAnsi="宋体" w:cs="宋体" w:eastAsiaTheme="minorEastAsia"/>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为加快推进工程造价咨询行业信用体系建设与完善，促进行业健康稳定发展，</w:t>
      </w:r>
      <w:r>
        <w:rPr>
          <w:rFonts w:hint="eastAsia" w:asciiTheme="minorEastAsia" w:hAnsiTheme="minorEastAsia" w:eastAsiaTheme="minorEastAsia" w:cstheme="minorEastAsia"/>
          <w:color w:val="auto"/>
          <w:sz w:val="24"/>
          <w:szCs w:val="24"/>
          <w:lang w:val="en-US" w:eastAsia="zh-CN"/>
        </w:rPr>
        <w:t>中价协信用评价工作</w:t>
      </w:r>
      <w:r>
        <w:rPr>
          <w:rFonts w:hint="eastAsia" w:asciiTheme="minorEastAsia" w:hAnsiTheme="minorEastAsia" w:cstheme="minorEastAsia"/>
          <w:color w:val="auto"/>
          <w:sz w:val="24"/>
          <w:szCs w:val="24"/>
          <w:lang w:val="en-US" w:eastAsia="zh-CN"/>
        </w:rPr>
        <w:t>现</w:t>
      </w:r>
      <w:r>
        <w:rPr>
          <w:rFonts w:hint="eastAsia" w:asciiTheme="minorEastAsia" w:hAnsiTheme="minorEastAsia" w:eastAsiaTheme="minorEastAsia" w:cstheme="minorEastAsia"/>
          <w:color w:val="auto"/>
          <w:sz w:val="24"/>
          <w:szCs w:val="24"/>
          <w:lang w:val="en-US" w:eastAsia="zh-CN"/>
        </w:rPr>
        <w:t>实行动态管理</w:t>
      </w:r>
      <w:r>
        <w:rPr>
          <w:rFonts w:hint="eastAsia" w:asciiTheme="minorEastAsia" w:hAnsiTheme="minorEastAsia" w:cstheme="minorEastAsia"/>
          <w:color w:val="auto"/>
          <w:sz w:val="24"/>
          <w:szCs w:val="24"/>
          <w:lang w:val="en-US" w:eastAsia="zh-CN"/>
        </w:rPr>
        <w:t>模</w:t>
      </w:r>
      <w:r>
        <w:rPr>
          <w:rFonts w:hint="eastAsia" w:asciiTheme="minorEastAsia" w:hAnsiTheme="minorEastAsia" w:eastAsiaTheme="minorEastAsia" w:cstheme="minorEastAsia"/>
          <w:color w:val="auto"/>
          <w:sz w:val="24"/>
          <w:szCs w:val="24"/>
          <w:lang w:val="en-US" w:eastAsia="zh-CN"/>
        </w:rPr>
        <w:t>式</w:t>
      </w:r>
      <w:r>
        <w:rPr>
          <w:rFonts w:hint="eastAsia" w:asciiTheme="minorEastAsia" w:hAnsiTheme="minorEastAsia" w:cstheme="minorEastAsia"/>
          <w:color w:val="auto"/>
          <w:sz w:val="24"/>
          <w:szCs w:val="24"/>
          <w:lang w:val="en-US" w:eastAsia="zh-CN"/>
        </w:rPr>
        <w:t>，</w:t>
      </w:r>
      <w:r>
        <w:rPr>
          <w:rFonts w:hint="eastAsia" w:asciiTheme="minorEastAsia" w:hAnsiTheme="minorEastAsia" w:eastAsiaTheme="minorEastAsia" w:cstheme="minorEastAsia"/>
          <w:b/>
          <w:bCs/>
          <w:color w:val="auto"/>
          <w:sz w:val="24"/>
          <w:szCs w:val="24"/>
          <w:lang w:val="en-US" w:eastAsia="zh-CN"/>
        </w:rPr>
        <w:t>于每季度集中确认一批信用评价结果</w:t>
      </w:r>
      <w:r>
        <w:rPr>
          <w:rFonts w:hint="eastAsia" w:asciiTheme="minorEastAsia" w:hAnsi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lang w:val="en-US" w:eastAsia="zh-CN"/>
        </w:rPr>
        <w:t>现本年度第</w:t>
      </w:r>
      <w:r>
        <w:rPr>
          <w:rFonts w:hint="eastAsia" w:asciiTheme="minorEastAsia" w:hAnsiTheme="minorEastAsia" w:cstheme="minorEastAsia"/>
          <w:color w:val="auto"/>
          <w:sz w:val="24"/>
          <w:szCs w:val="24"/>
          <w:lang w:val="en-US" w:eastAsia="zh-CN"/>
        </w:rPr>
        <w:t>三</w:t>
      </w:r>
      <w:r>
        <w:rPr>
          <w:rFonts w:hint="eastAsia" w:asciiTheme="minorEastAsia" w:hAnsiTheme="minorEastAsia" w:eastAsiaTheme="minorEastAsia" w:cstheme="minorEastAsia"/>
          <w:color w:val="auto"/>
          <w:sz w:val="24"/>
          <w:szCs w:val="24"/>
          <w:lang w:val="en-US" w:eastAsia="zh-CN"/>
        </w:rPr>
        <w:t>季度中价协信用</w:t>
      </w:r>
      <w:r>
        <w:rPr>
          <w:rFonts w:hint="eastAsia" w:asciiTheme="minorEastAsia" w:hAnsiTheme="minorEastAsia" w:cstheme="minorEastAsia"/>
          <w:color w:val="auto"/>
          <w:sz w:val="24"/>
          <w:szCs w:val="24"/>
          <w:lang w:val="en-US" w:eastAsia="zh-CN"/>
        </w:rPr>
        <w:t>评价工作正式启动，具体事项通知如下：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482"/>
        <w:jc w:val="left"/>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一、评价对象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1.本省中价协单位会员，可自愿申请参加；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eastAsia" w:ascii="宋体" w:hAnsi="宋体" w:eastAsia="宋体" w:cs="宋体"/>
          <w:color w:val="auto"/>
          <w:kern w:val="2"/>
          <w:sz w:val="24"/>
          <w:szCs w:val="24"/>
          <w:lang w:val="zh-CN" w:eastAsia="zh-CN" w:bidi="ar-SA"/>
        </w:rPr>
      </w:pPr>
      <w:r>
        <w:rPr>
          <w:rFonts w:hint="eastAsia" w:ascii="宋体" w:hAnsi="宋体" w:eastAsia="宋体" w:cs="宋体"/>
          <w:b/>
          <w:bCs/>
          <w:color w:val="auto"/>
          <w:kern w:val="2"/>
          <w:sz w:val="24"/>
          <w:szCs w:val="24"/>
          <w:lang w:val="en-US" w:eastAsia="zh-CN" w:bidi="ar-SA"/>
        </w:rPr>
        <w:t>2.有意愿加入中价协会员单位的企业请于尽快联系省协会</w:t>
      </w:r>
      <w:r>
        <w:rPr>
          <w:rFonts w:hint="eastAsia" w:ascii="宋体" w:hAnsi="宋体" w:eastAsia="宋体" w:cs="宋体"/>
          <w:b/>
          <w:bCs/>
          <w:color w:val="auto"/>
          <w:kern w:val="2"/>
          <w:sz w:val="24"/>
          <w:szCs w:val="24"/>
          <w:lang w:val="zh-CN" w:eastAsia="zh-CN" w:bidi="ar-SA"/>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482"/>
        <w:jc w:val="left"/>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二、进度安排</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eastAsia" w:ascii="宋体" w:hAnsi="宋体" w:eastAsia="宋体" w:cs="宋体"/>
          <w:color w:val="auto"/>
          <w:kern w:val="2"/>
          <w:sz w:val="24"/>
          <w:szCs w:val="24"/>
          <w:u w:val="single"/>
          <w:lang w:val="en-US" w:eastAsia="zh-CN" w:bidi="ar-SA"/>
        </w:rPr>
      </w:pPr>
      <w:r>
        <w:rPr>
          <w:rFonts w:hint="eastAsia" w:ascii="宋体" w:hAnsi="宋体" w:eastAsia="宋体" w:cs="宋体"/>
          <w:color w:val="auto"/>
          <w:kern w:val="2"/>
          <w:sz w:val="24"/>
          <w:szCs w:val="24"/>
          <w:u w:val="none"/>
          <w:lang w:val="en-US" w:eastAsia="zh-CN" w:bidi="ar-SA"/>
        </w:rPr>
        <w:t>1.</w:t>
      </w:r>
      <w:r>
        <w:rPr>
          <w:rFonts w:hint="eastAsia" w:ascii="宋体" w:hAnsi="宋体" w:eastAsia="宋体" w:cs="宋体"/>
          <w:color w:val="auto"/>
          <w:kern w:val="2"/>
          <w:sz w:val="24"/>
          <w:szCs w:val="24"/>
          <w:u w:val="single"/>
          <w:lang w:val="en-US" w:eastAsia="zh-CN" w:bidi="ar-SA"/>
        </w:rPr>
        <w:t>企业申请评价阶段：</w:t>
      </w:r>
      <w:r>
        <w:rPr>
          <w:rFonts w:hint="eastAsia" w:ascii="宋体" w:hAnsi="宋体" w:eastAsia="宋体" w:cs="宋体"/>
          <w:color w:val="0000FF"/>
          <w:kern w:val="2"/>
          <w:sz w:val="24"/>
          <w:szCs w:val="24"/>
          <w:u w:val="single"/>
          <w:lang w:val="en-US" w:eastAsia="zh-CN" w:bidi="ar-SA"/>
        </w:rPr>
        <w:t>2021年7月1日至8月20日</w:t>
      </w:r>
      <w:r>
        <w:rPr>
          <w:rFonts w:hint="eastAsia" w:ascii="宋体" w:hAnsi="宋体" w:eastAsia="宋体" w:cs="宋体"/>
          <w:color w:val="auto"/>
          <w:kern w:val="2"/>
          <w:sz w:val="24"/>
          <w:szCs w:val="24"/>
          <w:u w:val="single"/>
          <w:lang w:val="en-US" w:eastAsia="zh-CN" w:bidi="ar-SA"/>
        </w:rPr>
        <w:t>（在此期间内网上申报并寄送纸质申报书至省协会）</w:t>
      </w:r>
      <w:r>
        <w:rPr>
          <w:rFonts w:hint="eastAsia" w:ascii="宋体" w:hAnsi="宋体" w:eastAsia="宋体" w:cs="宋体"/>
          <w:color w:val="auto"/>
          <w:kern w:val="2"/>
          <w:sz w:val="24"/>
          <w:szCs w:val="24"/>
          <w:u w:val="none"/>
          <w:lang w:val="en-US" w:eastAsia="zh-CN" w:bidi="ar-SA"/>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2.市协会评价阶段：</w:t>
      </w:r>
      <w:r>
        <w:rPr>
          <w:rFonts w:hint="eastAsia" w:ascii="宋体" w:hAnsi="宋体" w:eastAsia="宋体" w:cs="宋体"/>
          <w:color w:val="0000FF"/>
          <w:kern w:val="2"/>
          <w:sz w:val="24"/>
          <w:szCs w:val="24"/>
          <w:lang w:val="en-US" w:eastAsia="zh-CN" w:bidi="ar-SA"/>
        </w:rPr>
        <w:t>2021年8月20日至9月10日</w:t>
      </w:r>
      <w:r>
        <w:rPr>
          <w:rFonts w:hint="eastAsia" w:ascii="宋体" w:hAnsi="宋体" w:eastAsia="宋体" w:cs="宋体"/>
          <w:color w:val="auto"/>
          <w:kern w:val="2"/>
          <w:sz w:val="24"/>
          <w:szCs w:val="24"/>
          <w:lang w:val="en-US" w:eastAsia="zh-CN" w:bidi="ar-SA"/>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3.省协会复核阶段：</w:t>
      </w:r>
      <w:r>
        <w:rPr>
          <w:rFonts w:hint="eastAsia" w:ascii="宋体" w:hAnsi="宋体" w:eastAsia="宋体" w:cs="宋体"/>
          <w:color w:val="0000FF"/>
          <w:kern w:val="2"/>
          <w:sz w:val="24"/>
          <w:szCs w:val="24"/>
          <w:lang w:val="en-US" w:eastAsia="zh-CN" w:bidi="ar-SA"/>
        </w:rPr>
        <w:t>2021年9月10日至9月29日</w:t>
      </w:r>
      <w:r>
        <w:rPr>
          <w:rFonts w:hint="eastAsia" w:ascii="宋体" w:hAnsi="宋体" w:eastAsia="宋体" w:cs="宋体"/>
          <w:color w:val="auto"/>
          <w:kern w:val="2"/>
          <w:sz w:val="24"/>
          <w:szCs w:val="24"/>
          <w:lang w:val="en-US" w:eastAsia="zh-CN" w:bidi="ar-SA"/>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4.中价协公示阶段。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0" w:afterAutospacing="0" w:line="360" w:lineRule="auto"/>
        <w:ind w:left="0" w:right="0" w:firstLine="482"/>
        <w:jc w:val="left"/>
        <w:textAlignment w:val="auto"/>
        <w:rPr>
          <w:rFonts w:hint="default"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三、重要事项说明</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1.请各参评企业于</w:t>
      </w:r>
      <w:r>
        <w:rPr>
          <w:rFonts w:hint="eastAsia" w:ascii="宋体" w:hAnsi="宋体" w:eastAsia="宋体" w:cs="宋体"/>
          <w:b w:val="0"/>
          <w:bCs w:val="0"/>
          <w:color w:val="0000FF"/>
          <w:kern w:val="2"/>
          <w:sz w:val="24"/>
          <w:szCs w:val="24"/>
          <w:lang w:val="en-US" w:eastAsia="zh-CN" w:bidi="ar-SA"/>
        </w:rPr>
        <w:t>2021年8月16日</w:t>
      </w:r>
      <w:r>
        <w:rPr>
          <w:rFonts w:hint="eastAsia" w:ascii="宋体" w:hAnsi="宋体" w:eastAsia="宋体" w:cs="宋体"/>
          <w:b w:val="0"/>
          <w:bCs w:val="0"/>
          <w:color w:val="auto"/>
          <w:kern w:val="2"/>
          <w:sz w:val="24"/>
          <w:szCs w:val="24"/>
          <w:lang w:val="en-US" w:eastAsia="zh-CN" w:bidi="ar-SA"/>
        </w:rPr>
        <w:t xml:space="preserve">前在中价协信用评价系统中完成网上申报，网址: </w:t>
      </w:r>
      <w:r>
        <w:rPr>
          <w:rFonts w:hint="eastAsia" w:ascii="Microsoft YaHei UI Light" w:hAnsi="Microsoft YaHei UI Light" w:eastAsia="Microsoft YaHei UI Light" w:cs="Microsoft YaHei UI Light"/>
          <w:b w:val="0"/>
          <w:bCs w:val="0"/>
          <w:color w:val="auto"/>
          <w:kern w:val="2"/>
          <w:sz w:val="24"/>
          <w:szCs w:val="24"/>
          <w:u w:val="single"/>
          <w:lang w:val="en-US" w:eastAsia="zh-CN" w:bidi="ar-SA"/>
        </w:rPr>
        <w:t>http://cre.ccea.pro/</w:t>
      </w:r>
      <w:r>
        <w:rPr>
          <w:rFonts w:hint="eastAsia" w:ascii="宋体" w:hAnsi="宋体" w:eastAsia="宋体" w:cs="宋体"/>
          <w:b w:val="0"/>
          <w:bCs w:val="0"/>
          <w:color w:val="auto"/>
          <w:kern w:val="2"/>
          <w:sz w:val="24"/>
          <w:szCs w:val="24"/>
          <w:lang w:val="en-US" w:eastAsia="zh-CN" w:bidi="ar-SA"/>
        </w:rPr>
        <w:t>，并将申报书（信息填报完毕后，在评价系统中打印申报书）</w:t>
      </w:r>
      <w:r>
        <w:rPr>
          <w:rFonts w:hint="eastAsia" w:ascii="宋体" w:hAnsi="宋体" w:eastAsia="宋体" w:cs="宋体"/>
          <w:b/>
          <w:bCs/>
          <w:color w:val="auto"/>
          <w:kern w:val="2"/>
          <w:sz w:val="24"/>
          <w:szCs w:val="24"/>
          <w:lang w:val="en-US" w:eastAsia="zh-CN" w:bidi="ar-SA"/>
        </w:rPr>
        <w:t>寄送至省协会</w:t>
      </w:r>
      <w:r>
        <w:rPr>
          <w:rFonts w:hint="eastAsia" w:ascii="宋体" w:hAnsi="宋体" w:eastAsia="宋体" w:cs="宋体"/>
          <w:b w:val="0"/>
          <w:bCs w:val="0"/>
          <w:color w:val="auto"/>
          <w:kern w:val="2"/>
          <w:sz w:val="24"/>
          <w:szCs w:val="24"/>
          <w:lang w:val="en-US" w:eastAsia="zh-CN" w:bidi="ar-SA"/>
        </w:rPr>
        <w:t>。收到申报书后，</w:t>
      </w:r>
      <w:r>
        <w:rPr>
          <w:rFonts w:hint="eastAsia" w:ascii="宋体" w:hAnsi="宋体" w:eastAsia="宋体" w:cs="宋体"/>
          <w:b/>
          <w:bCs/>
          <w:color w:val="auto"/>
          <w:kern w:val="2"/>
          <w:sz w:val="24"/>
          <w:szCs w:val="24"/>
          <w:lang w:val="en-US" w:eastAsia="zh-CN" w:bidi="ar-SA"/>
        </w:rPr>
        <w:t>省协会在系统中锁定企业信息，并由市协会开始赋分。</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textAlignment w:val="baseline"/>
        <w:rPr>
          <w:rFonts w:hint="eastAsia" w:ascii="Microsoft YaHei UI" w:hAnsi="Microsoft YaHei UI" w:eastAsia="Microsoft YaHei UI" w:cs="Microsoft YaHei UI"/>
          <w:color w:val="auto"/>
          <w:kern w:val="2"/>
          <w:sz w:val="24"/>
          <w:szCs w:val="24"/>
          <w:u w:val="single"/>
          <w:lang w:val="en-US" w:eastAsia="zh-CN" w:bidi="ar-SA"/>
        </w:rPr>
      </w:pPr>
      <w:r>
        <w:rPr>
          <w:rFonts w:hint="eastAsia" w:ascii="宋体" w:hAnsi="宋体" w:eastAsia="宋体" w:cs="宋体"/>
          <w:color w:val="auto"/>
          <w:kern w:val="2"/>
          <w:sz w:val="24"/>
          <w:szCs w:val="24"/>
          <w:lang w:val="en-US" w:eastAsia="zh-CN" w:bidi="ar-SA"/>
        </w:rPr>
        <w:fldChar w:fldCharType="begin"/>
      </w:r>
      <w:r>
        <w:rPr>
          <w:rFonts w:hint="eastAsia" w:ascii="宋体" w:hAnsi="宋体" w:eastAsia="宋体" w:cs="宋体"/>
          <w:color w:val="auto"/>
          <w:kern w:val="2"/>
          <w:sz w:val="24"/>
          <w:szCs w:val="24"/>
          <w:lang w:val="en-US" w:eastAsia="zh-CN" w:bidi="ar-SA"/>
        </w:rPr>
        <w:instrText xml:space="preserve"> HYPERLINK "mailto:2.本次信用评价工作本着减轻企业负担，强化企业诚信监督机制，企业信用评价申报实行告知承诺制，申报评价数据的真实性及准确性由企业承诺，多数证明材料不需上报，需企业自行留存备查；但评价标准中省级自定义内容需于10月20日前报送相应的电子证明材料（详见附件2）至邮邮箱zjsjsgczjglxh02@163.com" </w:instrText>
      </w:r>
      <w:r>
        <w:rPr>
          <w:rFonts w:hint="eastAsia" w:ascii="宋体" w:hAnsi="宋体" w:eastAsia="宋体" w:cs="宋体"/>
          <w:color w:val="auto"/>
          <w:kern w:val="2"/>
          <w:sz w:val="24"/>
          <w:szCs w:val="24"/>
          <w:lang w:val="en-US" w:eastAsia="zh-CN" w:bidi="ar-SA"/>
        </w:rPr>
        <w:fldChar w:fldCharType="separate"/>
      </w:r>
      <w:r>
        <w:rPr>
          <w:rStyle w:val="9"/>
          <w:rFonts w:hint="eastAsia" w:ascii="宋体" w:hAnsi="宋体" w:eastAsia="宋体" w:cs="宋体"/>
          <w:color w:val="auto"/>
          <w:kern w:val="2"/>
          <w:sz w:val="24"/>
          <w:szCs w:val="24"/>
          <w:u w:val="none"/>
          <w:lang w:val="en-US" w:eastAsia="zh-CN" w:bidi="ar-SA"/>
        </w:rPr>
        <w:t>2.中价协信用评价工作本着减轻企业负担，强化企业诚信监督机制，企业信用评价申报实行告知承诺制，申报评价数据的真实性及准确性由企业承诺，多数证明材料不需上报，需企业自行留存备查；</w:t>
      </w:r>
      <w:r>
        <w:rPr>
          <w:rStyle w:val="9"/>
          <w:rFonts w:hint="eastAsia" w:ascii="宋体" w:hAnsi="宋体" w:eastAsia="宋体" w:cs="宋体"/>
          <w:b/>
          <w:bCs/>
          <w:color w:val="auto"/>
          <w:kern w:val="2"/>
          <w:sz w:val="24"/>
          <w:szCs w:val="24"/>
          <w:u w:val="none"/>
          <w:lang w:val="en-US" w:eastAsia="zh-CN" w:bidi="ar-SA"/>
        </w:rPr>
        <w:t>但评价标准中省级自定义内容需于</w:t>
      </w:r>
      <w:r>
        <w:rPr>
          <w:rStyle w:val="9"/>
          <w:rFonts w:hint="eastAsia" w:ascii="宋体" w:hAnsi="宋体" w:eastAsia="宋体" w:cs="宋体"/>
          <w:b/>
          <w:bCs/>
          <w:color w:val="0000FF"/>
          <w:kern w:val="2"/>
          <w:sz w:val="24"/>
          <w:szCs w:val="24"/>
          <w:u w:val="none"/>
          <w:lang w:val="en-US" w:eastAsia="zh-CN" w:bidi="ar-SA"/>
        </w:rPr>
        <w:t>8月20日</w:t>
      </w:r>
      <w:r>
        <w:rPr>
          <w:rStyle w:val="9"/>
          <w:rFonts w:hint="eastAsia" w:ascii="宋体" w:hAnsi="宋体" w:eastAsia="宋体" w:cs="宋体"/>
          <w:b/>
          <w:bCs/>
          <w:color w:val="auto"/>
          <w:kern w:val="2"/>
          <w:sz w:val="24"/>
          <w:szCs w:val="24"/>
          <w:u w:val="none"/>
          <w:lang w:val="en-US" w:eastAsia="zh-CN" w:bidi="ar-SA"/>
        </w:rPr>
        <w:t>前报送相应的电子材料（邮件名称中注明所属地区及公司简称，详见附件2）至省协会联系邮箱</w:t>
      </w:r>
      <w:r>
        <w:rPr>
          <w:rFonts w:hint="eastAsia" w:ascii="宋体" w:hAnsi="宋体" w:eastAsia="宋体" w:cs="宋体"/>
          <w:color w:val="auto"/>
          <w:kern w:val="2"/>
          <w:sz w:val="24"/>
          <w:szCs w:val="24"/>
          <w:lang w:val="en-US" w:eastAsia="zh-CN" w:bidi="ar-SA"/>
        </w:rPr>
        <w:fldChar w:fldCharType="end"/>
      </w:r>
      <w:r>
        <w:rPr>
          <w:rFonts w:hint="eastAsia" w:ascii="宋体" w:hAnsi="宋体" w:eastAsia="宋体" w:cs="宋体"/>
          <w:color w:val="auto"/>
          <w:kern w:val="2"/>
          <w:sz w:val="24"/>
          <w:szCs w:val="24"/>
          <w:lang w:val="en-US" w:eastAsia="zh-CN" w:bidi="ar-SA"/>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3.服务系统做为支撑，相关数据自动导入。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4.评价标准中</w:t>
      </w:r>
      <w:r>
        <w:rPr>
          <w:rFonts w:hint="eastAsia" w:ascii="宋体" w:hAnsi="宋体" w:eastAsia="宋体" w:cs="宋体"/>
          <w:color w:val="auto"/>
          <w:kern w:val="2"/>
          <w:sz w:val="24"/>
          <w:szCs w:val="24"/>
          <w:lang w:val="zh-CN" w:eastAsia="zh-CN" w:bidi="ar-SA"/>
        </w:rPr>
        <w:t>“二</w:t>
      </w:r>
      <w:r>
        <w:rPr>
          <w:rFonts w:hint="eastAsia" w:ascii="宋体" w:hAnsi="宋体" w:eastAsia="宋体" w:cs="宋体"/>
          <w:color w:val="auto"/>
          <w:kern w:val="2"/>
          <w:sz w:val="24"/>
          <w:szCs w:val="24"/>
          <w:lang w:val="en-US" w:eastAsia="zh-CN" w:bidi="ar-SA"/>
        </w:rPr>
        <w:t>级注册造价工程师”</w:t>
      </w:r>
      <w:r>
        <w:rPr>
          <w:rFonts w:hint="eastAsia" w:ascii="宋体" w:hAnsi="宋体" w:eastAsia="宋体" w:cs="宋体"/>
          <w:color w:val="auto"/>
          <w:kern w:val="2"/>
          <w:sz w:val="24"/>
          <w:szCs w:val="24"/>
          <w:lang w:val="en-US" w:eastAsia="en-US" w:bidi="ar-SA"/>
        </w:rPr>
        <w:t>，</w:t>
      </w:r>
      <w:r>
        <w:rPr>
          <w:rFonts w:hint="eastAsia" w:ascii="宋体" w:hAnsi="宋体" w:eastAsia="宋体" w:cs="宋体"/>
          <w:color w:val="auto"/>
          <w:kern w:val="2"/>
          <w:sz w:val="24"/>
          <w:szCs w:val="24"/>
          <w:lang w:val="en-US" w:eastAsia="zh-CN" w:bidi="ar-SA"/>
        </w:rPr>
        <w:t>可暂用造价从业人员代替。</w:t>
      </w:r>
    </w:p>
    <w:p>
      <w:pPr>
        <w:pStyle w:val="10"/>
        <w:keepNext w:val="0"/>
        <w:keepLines w:val="0"/>
        <w:pageBreakBefore w:val="0"/>
        <w:widowControl w:val="0"/>
        <w:shd w:val="clear" w:color="auto" w:fill="auto"/>
        <w:tabs>
          <w:tab w:val="left" w:pos="1148"/>
        </w:tabs>
        <w:kinsoku/>
        <w:wordWrap/>
        <w:overflowPunct/>
        <w:topLinePunct w:val="0"/>
        <w:autoSpaceDE/>
        <w:autoSpaceDN/>
        <w:bidi w:val="0"/>
        <w:adjustRightInd/>
        <w:snapToGrid/>
        <w:spacing w:before="0" w:line="360" w:lineRule="auto"/>
        <w:ind w:left="0" w:leftChars="0" w:right="0" w:firstLine="480" w:firstLineChars="200"/>
        <w:jc w:val="both"/>
        <w:textAlignment w:val="auto"/>
        <w:rPr>
          <w:rFonts w:hint="eastAsia" w:ascii="宋体" w:hAnsi="宋体" w:eastAsia="宋体" w:cs="宋体"/>
          <w:color w:val="auto"/>
          <w:kern w:val="2"/>
          <w:sz w:val="24"/>
          <w:szCs w:val="24"/>
          <w:u w:val="none"/>
          <w:shd w:val="clear"/>
          <w:lang w:val="en-US" w:eastAsia="zh-CN" w:bidi="ar-SA"/>
        </w:rPr>
      </w:pPr>
      <w:r>
        <w:rPr>
          <w:rFonts w:hint="eastAsia" w:ascii="宋体" w:hAnsi="宋体" w:eastAsia="宋体" w:cs="宋体"/>
          <w:color w:val="auto"/>
          <w:kern w:val="2"/>
          <w:sz w:val="24"/>
          <w:szCs w:val="24"/>
          <w:u w:val="none"/>
          <w:shd w:val="clear"/>
          <w:lang w:val="en-US" w:eastAsia="zh-CN" w:bidi="ar-SA"/>
        </w:rPr>
        <w:t>5.自2019年起，工程造价咨询企业信用等级</w:t>
      </w:r>
      <w:r>
        <w:rPr>
          <w:rFonts w:hint="eastAsia" w:ascii="宋体" w:hAnsi="宋体" w:eastAsia="宋体" w:cs="宋体"/>
          <w:color w:val="auto"/>
          <w:kern w:val="2"/>
          <w:sz w:val="24"/>
          <w:szCs w:val="24"/>
          <w:u w:val="single"/>
          <w:shd w:val="clear"/>
          <w:lang w:val="en-US" w:eastAsia="zh-CN" w:bidi="ar-SA"/>
        </w:rPr>
        <w:t>实行动态管理制度</w:t>
      </w:r>
      <w:r>
        <w:rPr>
          <w:rFonts w:hint="eastAsia" w:ascii="宋体" w:hAnsi="宋体" w:eastAsia="宋体" w:cs="宋体"/>
          <w:color w:val="auto"/>
          <w:kern w:val="2"/>
          <w:sz w:val="24"/>
          <w:szCs w:val="24"/>
          <w:u w:val="none"/>
          <w:shd w:val="clear"/>
          <w:lang w:val="en-US" w:eastAsia="zh-CN" w:bidi="ar-SA"/>
        </w:rPr>
        <w:t>，企业取得信用等级后可随时登陆中价协信用评价系统打印信用等级证明或更新相关材料，信用评价机构定期调整企业评价分值和相应信用等级。</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kern w:val="2"/>
          <w:sz w:val="24"/>
          <w:szCs w:val="24"/>
          <w:u w:val="none"/>
          <w:shd w:val="clear" w:color="auto" w:fill="auto"/>
          <w:lang w:val="en-US" w:eastAsia="zh-CN" w:bidi="ar-SA"/>
        </w:rPr>
      </w:pPr>
      <w:r>
        <w:rPr>
          <w:rFonts w:hint="eastAsia" w:ascii="宋体" w:hAnsi="宋体" w:eastAsia="宋体" w:cs="宋体"/>
          <w:color w:val="auto"/>
          <w:kern w:val="2"/>
          <w:sz w:val="24"/>
          <w:szCs w:val="24"/>
          <w:u w:val="none"/>
          <w:shd w:val="clear" w:color="auto" w:fill="auto"/>
          <w:lang w:val="en-US" w:eastAsia="zh-CN" w:bidi="ar-SA"/>
        </w:rPr>
        <w:t>6.已取得信用等级的企业出现下列情况，应及时处理：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color w:val="auto"/>
          <w:kern w:val="2"/>
          <w:sz w:val="24"/>
          <w:szCs w:val="24"/>
          <w:u w:val="none"/>
          <w:shd w:val="clear" w:color="auto" w:fill="auto"/>
          <w:lang w:val="en-US" w:eastAsia="zh-CN" w:bidi="ar-SA"/>
        </w:rPr>
      </w:pPr>
      <w:r>
        <w:rPr>
          <w:rFonts w:hint="eastAsia" w:ascii="宋体" w:hAnsi="宋体" w:eastAsia="宋体" w:cs="宋体"/>
          <w:color w:val="auto"/>
          <w:kern w:val="2"/>
          <w:sz w:val="24"/>
          <w:szCs w:val="24"/>
          <w:u w:val="none"/>
          <w:shd w:val="clear" w:color="auto" w:fill="auto"/>
          <w:lang w:val="en-US" w:eastAsia="zh-CN" w:bidi="ar-SA"/>
        </w:rPr>
        <w:t>（1）原有信用等级本季度末未到期的企业，可暂不参与本季度信用评价工作，有希望升级的，可以申请参加。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color w:val="auto"/>
          <w:kern w:val="2"/>
          <w:sz w:val="24"/>
          <w:szCs w:val="24"/>
          <w:u w:val="none"/>
          <w:shd w:val="clear" w:color="auto" w:fill="auto"/>
          <w:lang w:val="en-US" w:eastAsia="zh-CN" w:bidi="ar-SA"/>
        </w:rPr>
      </w:pPr>
      <w:r>
        <w:rPr>
          <w:rFonts w:hint="eastAsia" w:ascii="宋体" w:hAnsi="宋体" w:eastAsia="宋体" w:cs="宋体"/>
          <w:color w:val="auto"/>
          <w:kern w:val="2"/>
          <w:sz w:val="24"/>
          <w:szCs w:val="24"/>
          <w:u w:val="none"/>
          <w:shd w:val="clear" w:color="auto" w:fill="auto"/>
          <w:lang w:val="en-US" w:eastAsia="zh-CN" w:bidi="ar-SA"/>
        </w:rPr>
        <w:t>（2）企业申报信息发生变更，应及时在系统内更新维护本企业信息。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color w:val="auto"/>
          <w:kern w:val="2"/>
          <w:sz w:val="24"/>
          <w:szCs w:val="24"/>
          <w:u w:val="none"/>
          <w:shd w:val="clear" w:color="auto" w:fill="auto"/>
          <w:lang w:val="en-US" w:eastAsia="zh-CN" w:bidi="ar-SA"/>
        </w:rPr>
      </w:pPr>
      <w:r>
        <w:rPr>
          <w:rFonts w:hint="eastAsia" w:ascii="宋体" w:hAnsi="宋体" w:eastAsia="宋体" w:cs="宋体"/>
          <w:color w:val="auto"/>
          <w:kern w:val="2"/>
          <w:sz w:val="24"/>
          <w:szCs w:val="24"/>
          <w:u w:val="none"/>
          <w:shd w:val="clear" w:color="auto" w:fill="auto"/>
          <w:lang w:val="en-US" w:eastAsia="zh-CN" w:bidi="ar-SA"/>
        </w:rPr>
        <w:t>（3）企业名称变更可在系统线上办理变更，如需换证书可在系统审核通过后将旧版证书寄回中价协予以更换。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Theme="minorEastAsia" w:hAnsiTheme="minorEastAsia" w:cstheme="minorEastAsia"/>
          <w:b/>
          <w:bCs/>
          <w:color w:val="auto"/>
          <w:sz w:val="24"/>
          <w:szCs w:val="24"/>
          <w:lang w:val="en-US" w:eastAsia="zh-CN"/>
        </w:rPr>
      </w:pPr>
      <w:r>
        <w:rPr>
          <w:rFonts w:hint="eastAsia" w:ascii="宋体" w:hAnsi="宋体" w:eastAsia="宋体" w:cs="宋体"/>
          <w:color w:val="auto"/>
          <w:kern w:val="2"/>
          <w:sz w:val="24"/>
          <w:szCs w:val="24"/>
          <w:u w:val="none"/>
          <w:shd w:val="clear" w:color="auto" w:fill="auto"/>
          <w:lang w:val="en-US" w:eastAsia="zh-CN" w:bidi="ar-SA"/>
        </w:rPr>
        <w:t>（4）企业出现分立、合并等重大变更的，应重新申请评价，原证书作废。</w:t>
      </w:r>
    </w:p>
    <w:p>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rPr>
          <w:rFonts w:hint="default" w:asciiTheme="minorEastAsia" w:hAnsiTheme="minorEastAsia" w:eastAsiaTheme="minorEastAsia" w:cstheme="minorEastAsia"/>
          <w:b/>
          <w:bCs/>
          <w:i w:val="0"/>
          <w:caps w:val="0"/>
          <w:color w:val="auto"/>
          <w:spacing w:val="0"/>
          <w:sz w:val="24"/>
          <w:szCs w:val="24"/>
          <w:shd w:val="clear" w:fill="FFFFFF"/>
          <w:lang w:val="en-US" w:eastAsia="zh-CN"/>
        </w:rPr>
      </w:pPr>
      <w:r>
        <w:rPr>
          <w:rFonts w:hint="eastAsia" w:asciiTheme="minorEastAsia" w:hAnsiTheme="minorEastAsia" w:cstheme="minorEastAsia"/>
          <w:b/>
          <w:bCs/>
          <w:i w:val="0"/>
          <w:caps w:val="0"/>
          <w:color w:val="auto"/>
          <w:spacing w:val="0"/>
          <w:sz w:val="24"/>
          <w:szCs w:val="24"/>
          <w:shd w:val="clear" w:fill="FFFFFF"/>
          <w:lang w:val="en-US" w:eastAsia="zh-CN"/>
        </w:rPr>
        <w:t>四</w:t>
      </w:r>
      <w:r>
        <w:rPr>
          <w:rFonts w:hint="eastAsia" w:asciiTheme="minorEastAsia" w:hAnsiTheme="minorEastAsia" w:eastAsiaTheme="minorEastAsia" w:cstheme="minorEastAsia"/>
          <w:b/>
          <w:bCs/>
          <w:i w:val="0"/>
          <w:caps w:val="0"/>
          <w:color w:val="auto"/>
          <w:spacing w:val="0"/>
          <w:sz w:val="24"/>
          <w:szCs w:val="24"/>
          <w:shd w:val="clear" w:fill="FFFFFF"/>
          <w:lang w:val="en-US" w:eastAsia="zh-CN"/>
        </w:rPr>
        <w:t>、联系方式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i w:val="0"/>
          <w:caps w:val="0"/>
          <w:color w:val="auto"/>
          <w:spacing w:val="0"/>
          <w:sz w:val="24"/>
          <w:szCs w:val="24"/>
          <w:shd w:val="clear" w:fill="FFFFFF"/>
          <w:lang w:val="en-US" w:eastAsia="zh-CN"/>
        </w:rPr>
      </w:pPr>
      <w:r>
        <w:rPr>
          <w:rFonts w:hint="eastAsia" w:asciiTheme="minorEastAsia" w:hAnsiTheme="minorEastAsia" w:cstheme="minorEastAsia"/>
          <w:i w:val="0"/>
          <w:caps w:val="0"/>
          <w:color w:val="auto"/>
          <w:spacing w:val="0"/>
          <w:sz w:val="24"/>
          <w:szCs w:val="24"/>
          <w:shd w:val="clear" w:fill="FFFFFF"/>
          <w:lang w:val="en-US" w:eastAsia="zh-CN"/>
        </w:rPr>
        <w:t>1.联系电话：</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i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caps w:val="0"/>
          <w:color w:val="auto"/>
          <w:spacing w:val="0"/>
          <w:sz w:val="24"/>
          <w:szCs w:val="24"/>
          <w:shd w:val="clear" w:fill="FFFFFF"/>
          <w:lang w:val="en-US" w:eastAsia="zh-CN"/>
        </w:rPr>
        <w:t>钱</w:t>
      </w:r>
      <w:r>
        <w:rPr>
          <w:rFonts w:hint="eastAsia" w:asciiTheme="minorEastAsia" w:hAnsiTheme="minorEastAsia" w:cstheme="minorEastAsia"/>
          <w:i w:val="0"/>
          <w:caps w:val="0"/>
          <w:color w:val="auto"/>
          <w:spacing w:val="0"/>
          <w:sz w:val="24"/>
          <w:szCs w:val="24"/>
          <w:shd w:val="clear" w:fill="FFFFFF"/>
          <w:lang w:val="en-US" w:eastAsia="zh-CN"/>
        </w:rPr>
        <w:t>玲琳</w:t>
      </w:r>
      <w:r>
        <w:rPr>
          <w:rFonts w:hint="eastAsia" w:asciiTheme="minorEastAsia" w:hAnsiTheme="minorEastAsia" w:eastAsiaTheme="minorEastAsia" w:cstheme="minorEastAsia"/>
          <w:i w:val="0"/>
          <w:caps w:val="0"/>
          <w:color w:val="auto"/>
          <w:spacing w:val="0"/>
          <w:sz w:val="24"/>
          <w:szCs w:val="24"/>
          <w:shd w:val="clear" w:fill="FFFFFF"/>
          <w:lang w:val="en-US" w:eastAsia="zh-CN"/>
        </w:rPr>
        <w:t xml:space="preserve"> </w:t>
      </w:r>
      <w:r>
        <w:rPr>
          <w:rFonts w:hint="eastAsia" w:asciiTheme="minorEastAsia" w:hAnsiTheme="minorEastAsia" w:cstheme="minorEastAsia"/>
          <w:i w:val="0"/>
          <w:caps w:val="0"/>
          <w:color w:val="auto"/>
          <w:spacing w:val="0"/>
          <w:sz w:val="24"/>
          <w:szCs w:val="24"/>
          <w:shd w:val="clear" w:fill="FFFFFF"/>
          <w:lang w:val="en-US" w:eastAsia="zh-CN"/>
        </w:rPr>
        <w:t xml:space="preserve"> </w:t>
      </w:r>
      <w:r>
        <w:rPr>
          <w:rFonts w:hint="eastAsia" w:asciiTheme="minorEastAsia" w:hAnsiTheme="minorEastAsia" w:eastAsiaTheme="minorEastAsia" w:cstheme="minorEastAsia"/>
          <w:i w:val="0"/>
          <w:caps w:val="0"/>
          <w:color w:val="auto"/>
          <w:spacing w:val="0"/>
          <w:sz w:val="24"/>
          <w:szCs w:val="24"/>
          <w:shd w:val="clear" w:fill="FFFFFF"/>
          <w:lang w:val="en-US" w:eastAsia="zh-CN"/>
        </w:rPr>
        <w:t>0571-86651887</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i w:val="0"/>
          <w:caps w:val="0"/>
          <w:color w:val="auto"/>
          <w:spacing w:val="0"/>
          <w:sz w:val="24"/>
          <w:szCs w:val="24"/>
          <w:shd w:val="clear" w:fill="FFFFFF"/>
          <w:lang w:val="en-US" w:eastAsia="zh-CN"/>
        </w:rPr>
      </w:pPr>
      <w:r>
        <w:rPr>
          <w:rFonts w:hint="eastAsia" w:asciiTheme="minorEastAsia" w:hAnsiTheme="minorEastAsia" w:cstheme="minorEastAsia"/>
          <w:i w:val="0"/>
          <w:caps w:val="0"/>
          <w:color w:val="auto"/>
          <w:spacing w:val="0"/>
          <w:sz w:val="24"/>
          <w:szCs w:val="24"/>
          <w:shd w:val="clear" w:fill="FFFFFF"/>
          <w:lang w:val="en-US" w:eastAsia="zh-CN"/>
        </w:rPr>
        <w:t>金  辰  0571-88058079</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2.联系地址：</w:t>
      </w:r>
      <w:r>
        <w:rPr>
          <w:rFonts w:hint="eastAsia" w:asciiTheme="minorEastAsia" w:hAnsiTheme="minorEastAsia" w:cstheme="minorEastAsia"/>
          <w:color w:val="auto"/>
          <w:kern w:val="2"/>
          <w:sz w:val="24"/>
          <w:szCs w:val="24"/>
          <w:lang w:val="en-US" w:eastAsia="zh-CN" w:bidi="ar-SA"/>
        </w:rPr>
        <w:t>浙江省杭州市西湖区文二路8号浙江建设科技研发中心1107</w:t>
      </w:r>
    </w:p>
    <w:p>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textAlignment w:val="baseline"/>
        <w:rPr>
          <w:rFonts w:hint="eastAsia" w:ascii="Malgun Gothic Semilight" w:hAnsi="Malgun Gothic Semilight" w:eastAsia="Malgun Gothic Semilight" w:cs="Malgun Gothic Semilight"/>
          <w:color w:val="auto"/>
          <w:kern w:val="2"/>
          <w:sz w:val="24"/>
          <w:szCs w:val="24"/>
          <w:u w:val="single"/>
          <w:lang w:val="en-US" w:eastAsia="zh-CN" w:bidi="ar-SA"/>
        </w:rPr>
      </w:pPr>
      <w:r>
        <w:rPr>
          <w:rFonts w:hint="eastAsia" w:ascii="宋体" w:hAnsi="宋体" w:eastAsia="宋体" w:cs="宋体"/>
          <w:color w:val="auto"/>
          <w:kern w:val="2"/>
          <w:sz w:val="24"/>
          <w:szCs w:val="24"/>
          <w:lang w:val="en-US" w:eastAsia="zh-CN" w:bidi="ar-SA"/>
        </w:rPr>
        <w:t>3.联系邮箱：</w:t>
      </w:r>
      <w:r>
        <w:rPr>
          <w:rFonts w:hint="eastAsia" w:ascii="Microsoft YaHei UI Light" w:hAnsi="Microsoft YaHei UI Light" w:eastAsia="Microsoft YaHei UI Light" w:cs="Microsoft YaHei UI Light"/>
          <w:color w:val="auto"/>
          <w:kern w:val="2"/>
          <w:sz w:val="24"/>
          <w:szCs w:val="24"/>
          <w:u w:val="single"/>
          <w:lang w:val="en-US" w:eastAsia="zh-CN" w:bidi="ar-SA"/>
        </w:rPr>
        <w:t>zjsjsgczjglxh02@163.com</w:t>
      </w:r>
    </w:p>
    <w:p>
      <w:pPr>
        <w:pStyle w:val="10"/>
        <w:keepNext w:val="0"/>
        <w:keepLines w:val="0"/>
        <w:pageBreakBefore w:val="0"/>
        <w:widowControl w:val="0"/>
        <w:shd w:val="clear" w:color="auto" w:fill="auto"/>
        <w:tabs>
          <w:tab w:val="left" w:pos="1144"/>
        </w:tabs>
        <w:kinsoku/>
        <w:wordWrap/>
        <w:overflowPunct/>
        <w:topLinePunct w:val="0"/>
        <w:autoSpaceDE/>
        <w:autoSpaceDN/>
        <w:bidi w:val="0"/>
        <w:adjustRightInd/>
        <w:snapToGrid/>
        <w:spacing w:before="0" w:after="0" w:line="360" w:lineRule="auto"/>
        <w:ind w:left="0" w:leftChars="0" w:right="0" w:firstLine="0" w:firstLineChars="0"/>
        <w:jc w:val="both"/>
        <w:textAlignment w:val="auto"/>
        <w:rPr>
          <w:rFonts w:hint="eastAsia" w:ascii="宋体" w:hAnsi="宋体" w:eastAsia="宋体" w:cs="宋体"/>
          <w:color w:val="auto"/>
          <w:kern w:val="2"/>
          <w:sz w:val="24"/>
          <w:szCs w:val="24"/>
          <w:u w:val="none"/>
          <w:shd w:val="clear"/>
          <w:lang w:val="en-US" w:eastAsia="zh-CN" w:bidi="ar-SA"/>
        </w:rPr>
      </w:pPr>
    </w:p>
    <w:p>
      <w:pPr>
        <w:pStyle w:val="10"/>
        <w:keepNext w:val="0"/>
        <w:keepLines w:val="0"/>
        <w:pageBreakBefore w:val="0"/>
        <w:widowControl w:val="0"/>
        <w:shd w:val="clear" w:color="auto" w:fill="auto"/>
        <w:tabs>
          <w:tab w:val="left" w:pos="1144"/>
        </w:tabs>
        <w:kinsoku/>
        <w:wordWrap/>
        <w:overflowPunct/>
        <w:topLinePunct w:val="0"/>
        <w:autoSpaceDE/>
        <w:autoSpaceDN/>
        <w:bidi w:val="0"/>
        <w:adjustRightInd/>
        <w:snapToGrid/>
        <w:spacing w:before="0" w:after="0" w:line="360" w:lineRule="auto"/>
        <w:ind w:left="0" w:leftChars="0" w:right="0" w:firstLine="480" w:firstLineChars="200"/>
        <w:jc w:val="both"/>
        <w:textAlignment w:val="auto"/>
        <w:rPr>
          <w:rFonts w:hint="default" w:ascii="宋体" w:hAnsi="宋体" w:eastAsia="宋体" w:cs="宋体"/>
          <w:color w:val="auto"/>
          <w:kern w:val="2"/>
          <w:sz w:val="24"/>
          <w:szCs w:val="24"/>
          <w:u w:val="none"/>
          <w:shd w:val="clear"/>
          <w:lang w:val="en-US" w:eastAsia="zh-CN" w:bidi="ar-SA"/>
        </w:rPr>
      </w:pPr>
      <w:r>
        <w:rPr>
          <w:rFonts w:hint="eastAsia" w:ascii="宋体" w:hAnsi="宋体" w:eastAsia="宋体" w:cs="宋体"/>
          <w:color w:val="auto"/>
          <w:kern w:val="2"/>
          <w:sz w:val="24"/>
          <w:szCs w:val="24"/>
          <w:u w:val="none"/>
          <w:shd w:val="clear"/>
          <w:lang w:val="en-US" w:eastAsia="zh-CN" w:bidi="ar-SA"/>
        </w:rPr>
        <w:t>附件1：</w:t>
      </w:r>
      <w:r>
        <w:rPr>
          <w:rFonts w:hint="eastAsia" w:ascii="宋体" w:hAnsi="宋体" w:eastAsia="宋体" w:cs="宋体"/>
          <w:color w:val="auto"/>
          <w:kern w:val="2"/>
          <w:sz w:val="24"/>
          <w:szCs w:val="24"/>
          <w:lang w:val="en-US" w:eastAsia="zh-CN" w:bidi="ar-SA"/>
        </w:rPr>
        <w:t>中价协《工程造价咨询企业信用评价管理办法》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default" w:eastAsiaTheme="minorEastAsia"/>
          <w:color w:val="auto"/>
          <w:lang w:val="en-US" w:eastAsia="zh-CN"/>
        </w:rPr>
      </w:pPr>
      <w:r>
        <w:rPr>
          <w:rFonts w:hint="eastAsia"/>
          <w:color w:val="auto"/>
          <w:lang w:val="en-US" w:eastAsia="zh-CN"/>
        </w:rPr>
        <w:t>附</w:t>
      </w:r>
      <w:r>
        <w:rPr>
          <w:rFonts w:hint="eastAsia" w:asciiTheme="minorEastAsia" w:hAnsiTheme="minorEastAsia" w:eastAsiaTheme="minorEastAsia" w:cstheme="minorEastAsia"/>
          <w:color w:val="auto"/>
          <w:lang w:val="en-US" w:eastAsia="zh-CN"/>
        </w:rPr>
        <w:t>件2：</w:t>
      </w:r>
      <w:r>
        <w:rPr>
          <w:rFonts w:hint="eastAsia"/>
          <w:color w:val="auto"/>
          <w:lang w:val="en-US" w:eastAsia="zh-CN"/>
        </w:rPr>
        <w:t>省级自定义内容申报材料（电子版）清单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color w:val="auto"/>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left"/>
        <w:textAlignment w:val="auto"/>
        <w:rPr>
          <w:color w:val="auto"/>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left"/>
        <w:textAlignment w:val="auto"/>
        <w:rPr>
          <w:color w:val="auto"/>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jc w:val="righ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浙江省建设工程造价管理协会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jc w:val="righ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2021年8月3日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default" w:eastAsiaTheme="minorEastAsia"/>
          <w:color w:val="auto"/>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left"/>
        <w:textAlignment w:val="auto"/>
        <w:rPr>
          <w:rFonts w:hint="default" w:eastAsiaTheme="minorEastAsia"/>
          <w:color w:val="auto"/>
          <w:lang w:val="en-US" w:eastAsia="zh-CN"/>
        </w:rPr>
      </w:pPr>
      <w:bookmarkStart w:id="0" w:name="_GoBack"/>
      <w:bookmarkEnd w:id="0"/>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宋体" w:hAnsi="宋体" w:eastAsia="微软雅黑" w:cs="宋体"/>
          <w:color w:val="auto"/>
          <w:kern w:val="2"/>
          <w:sz w:val="24"/>
          <w:szCs w:val="24"/>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rPr>
          <w:rFonts w:hint="eastAsia" w:ascii="宋体" w:hAnsi="宋体" w:eastAsia="宋体" w:cs="宋体"/>
          <w:color w:val="auto"/>
          <w:kern w:val="2"/>
          <w:sz w:val="24"/>
          <w:szCs w:val="24"/>
          <w:u w:val="none"/>
          <w:shd w:val="clear" w:color="auto" w:fill="auto"/>
          <w:lang w:val="en-US" w:eastAsia="zh-CN" w:bidi="ar-SA"/>
        </w:rPr>
      </w:pPr>
      <w:r>
        <w:rPr>
          <w:rFonts w:hint="eastAsia" w:ascii="宋体" w:hAnsi="宋体" w:eastAsia="宋体" w:cs="宋体"/>
          <w:color w:val="auto"/>
          <w:kern w:val="2"/>
          <w:sz w:val="24"/>
          <w:szCs w:val="24"/>
          <w:u w:val="none"/>
          <w:shd w:val="clear" w:color="auto" w:fill="auto"/>
          <w:lang w:val="en-US" w:eastAsia="zh-CN" w:bidi="ar-SA"/>
        </w:rPr>
        <w:t>抄送：各市建设工程造价管理协会</w:t>
      </w:r>
    </w:p>
    <w:p>
      <w:pPr>
        <w:rPr>
          <w:rFonts w:hint="eastAsia" w:ascii="宋体" w:hAnsi="宋体" w:eastAsia="宋体" w:cs="宋体"/>
          <w:color w:val="auto"/>
          <w:kern w:val="2"/>
          <w:sz w:val="24"/>
          <w:szCs w:val="24"/>
          <w:u w:val="none"/>
          <w:shd w:val="clear" w:color="auto" w:fill="auto"/>
          <w:lang w:val="en-US" w:eastAsia="zh-CN" w:bidi="ar-SA"/>
        </w:rPr>
      </w:pPr>
      <w:r>
        <w:rPr>
          <w:rFonts w:hint="eastAsia" w:ascii="宋体" w:hAnsi="宋体" w:eastAsia="宋体" w:cs="宋体"/>
          <w:color w:val="auto"/>
          <w:kern w:val="2"/>
          <w:sz w:val="24"/>
          <w:szCs w:val="24"/>
          <w:u w:val="none"/>
          <w:shd w:val="clear" w:color="auto" w:fill="auto"/>
          <w:lang w:val="en-US" w:eastAsia="zh-CN" w:bidi="ar-SA"/>
        </w:rPr>
        <w:br w:type="page"/>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附件1</w:t>
      </w:r>
    </w:p>
    <w:p>
      <w:pPr>
        <w:autoSpaceDE/>
        <w:autoSpaceDN/>
        <w:spacing w:before="0" w:after="0" w:line="560" w:lineRule="exact"/>
        <w:ind w:left="0" w:right="0"/>
        <w:jc w:val="center"/>
        <w:rPr>
          <w:rFonts w:hint="eastAsia" w:ascii="新宋体" w:hAnsi="新宋体" w:eastAsia="新宋体" w:cs="新宋体"/>
          <w:b/>
          <w:bCs/>
          <w:kern w:val="2"/>
          <w:sz w:val="32"/>
          <w:szCs w:val="32"/>
          <w:lang w:val="en-US" w:bidi="ar-SA"/>
        </w:rPr>
      </w:pPr>
      <w:r>
        <w:rPr>
          <w:rFonts w:hint="eastAsia" w:ascii="新宋体" w:hAnsi="新宋体" w:eastAsia="新宋体" w:cs="新宋体"/>
          <w:b/>
          <w:bCs/>
          <w:kern w:val="2"/>
          <w:sz w:val="32"/>
          <w:szCs w:val="32"/>
          <w:lang w:val="en-US" w:bidi="ar-SA"/>
        </w:rPr>
        <w:t>中国建设工程造价管理协会</w:t>
      </w:r>
    </w:p>
    <w:p>
      <w:pPr>
        <w:autoSpaceDE/>
        <w:autoSpaceDN/>
        <w:spacing w:before="0" w:after="0" w:line="560" w:lineRule="exact"/>
        <w:ind w:left="0" w:right="0"/>
        <w:jc w:val="center"/>
        <w:rPr>
          <w:rFonts w:ascii="方正小标宋_GBK" w:eastAsia="方正小标宋_GBK"/>
          <w:sz w:val="44"/>
          <w:szCs w:val="44"/>
        </w:rPr>
      </w:pPr>
      <w:r>
        <w:rPr>
          <w:rFonts w:hint="eastAsia" w:ascii="新宋体" w:hAnsi="新宋体" w:eastAsia="新宋体" w:cs="新宋体"/>
          <w:b/>
          <w:bCs/>
          <w:kern w:val="2"/>
          <w:sz w:val="32"/>
          <w:szCs w:val="32"/>
          <w:lang w:val="en-US" w:bidi="ar-SA"/>
        </w:rPr>
        <w:t>工程造价咨询企业信用评价管理办法</w:t>
      </w:r>
    </w:p>
    <w:p>
      <w:pPr>
        <w:pStyle w:val="2"/>
        <w:keepNext w:val="0"/>
        <w:keepLines w:val="0"/>
        <w:pageBreakBefore w:val="0"/>
        <w:widowControl/>
        <w:kinsoku/>
        <w:wordWrap/>
        <w:overflowPunct/>
        <w:topLinePunct w:val="0"/>
        <w:autoSpaceDE/>
        <w:autoSpaceDN/>
        <w:bidi w:val="0"/>
        <w:adjustRightInd/>
        <w:snapToGrid/>
        <w:spacing w:before="313" w:beforeLines="100" w:beforeAutospacing="0" w:after="0" w:afterAutospacing="0" w:line="360" w:lineRule="auto"/>
        <w:ind w:left="0" w:right="0"/>
        <w:jc w:val="center"/>
        <w:textAlignment w:val="auto"/>
        <w:outlineLvl w:val="1"/>
        <w:rPr>
          <w:rFonts w:hint="eastAsia" w:asciiTheme="minorEastAsia" w:hAnsiTheme="minorEastAsia" w:eastAsiaTheme="minorEastAsia" w:cstheme="minorEastAsia"/>
          <w:b/>
          <w:bCs/>
          <w:color w:val="000000"/>
          <w:kern w:val="0"/>
          <w:sz w:val="24"/>
          <w:szCs w:val="24"/>
          <w:lang w:val="en-US" w:bidi="ar-SA"/>
        </w:rPr>
      </w:pPr>
      <w:r>
        <w:rPr>
          <w:rFonts w:hint="eastAsia" w:asciiTheme="minorEastAsia" w:hAnsiTheme="minorEastAsia" w:eastAsiaTheme="minorEastAsia" w:cstheme="minorEastAsia"/>
          <w:b/>
          <w:bCs/>
          <w:color w:val="000000"/>
          <w:kern w:val="0"/>
          <w:sz w:val="24"/>
          <w:szCs w:val="24"/>
          <w:lang w:val="en-US" w:bidi="ar-SA"/>
        </w:rPr>
        <w:t>第一章  总则</w:t>
      </w:r>
    </w:p>
    <w:p>
      <w:pPr>
        <w:pStyle w:val="11"/>
        <w:keepNext w:val="0"/>
        <w:keepLines w:val="0"/>
        <w:pageBreakBefore w:val="0"/>
        <w:widowControl w:val="0"/>
        <w:kinsoku/>
        <w:wordWrap/>
        <w:overflowPunct/>
        <w:topLinePunct w:val="0"/>
        <w:autoSpaceDE w:val="0"/>
        <w:autoSpaceDN w:val="0"/>
        <w:bidi w:val="0"/>
        <w:adjustRightInd/>
        <w:snapToGrid/>
        <w:spacing w:before="157" w:beforeLines="50" w:beforeAutospacing="0" w:after="0" w:afterAutospacing="0" w:line="360" w:lineRule="auto"/>
        <w:ind w:firstLine="634"/>
        <w:textAlignment w:val="auto"/>
        <w:rPr>
          <w:rFonts w:hint="eastAsia" w:asciiTheme="minorEastAsia" w:hAnsiTheme="minorEastAsia" w:eastAsiaTheme="minorEastAsia" w:cstheme="minorEastAsia"/>
          <w:color w:val="000000"/>
          <w:sz w:val="24"/>
          <w:szCs w:val="24"/>
          <w:highlight w:val="yellow"/>
        </w:rPr>
      </w:pPr>
      <w:r>
        <w:rPr>
          <w:rFonts w:hint="eastAsia" w:asciiTheme="minorEastAsia" w:hAnsiTheme="minorEastAsia" w:eastAsiaTheme="minorEastAsia" w:cstheme="minorEastAsia"/>
          <w:b/>
          <w:color w:val="000000"/>
          <w:sz w:val="24"/>
          <w:szCs w:val="24"/>
        </w:rPr>
        <w:t>第一条</w:t>
      </w:r>
      <w:r>
        <w:rPr>
          <w:rFonts w:hint="eastAsia" w:asciiTheme="minorEastAsia" w:hAnsiTheme="minorEastAsia" w:eastAsiaTheme="minorEastAsia" w:cstheme="minorEastAsia"/>
          <w:color w:val="000000"/>
          <w:sz w:val="24"/>
          <w:szCs w:val="24"/>
        </w:rPr>
        <w:t xml:space="preserve"> </w:t>
      </w:r>
      <w:r>
        <w:rPr>
          <w:rFonts w:hint="eastAsia" w:asciiTheme="minorEastAsia" w:hAnsiTheme="minorEastAsia" w:eastAsiaTheme="minorEastAsia" w:cstheme="minorEastAsia"/>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为贯彻落实国务院、住房和城乡建设部关于社会信用体系建设的工作部署，指导和规范工程造价咨询企业信用评价工作，推进工程造价咨询行业信用体系建设，规范工程造价咨询企业从业行为，完善行业自律，促进工程造价咨询行业健康发展，根据《国务院关于印发社会信用体系建设规划纲要（2014-2020年）的通知》（国发〔2014〕21号）、《国务院关于建立完善守信联合激励和失信联合惩戒制度加快推进社会诚信建设的指导意见》（国发〔2016〕33号）、《国务院办公厅关于加快推进社会信用体系建设构建以信用为基础的新型监管机制的指导意见》（国办发〔2019〕35号）、《关于推进行业协会商会诚信自律建设工作的意见》（民发〔2014〕225号）、《关于进一步推进工程造价管理改革的指导意见》（建标〔2014〕142号）、《工程造价咨询企业管理办法》（建设部令第149号）等法律、法规、规章和文件的规定，制定本办法。</w:t>
      </w:r>
    </w:p>
    <w:p>
      <w:pPr>
        <w:pStyle w:val="11"/>
        <w:keepNext w:val="0"/>
        <w:keepLines w:val="0"/>
        <w:pageBreakBefore w:val="0"/>
        <w:kinsoku/>
        <w:wordWrap/>
        <w:overflowPunct/>
        <w:topLinePunct w:val="0"/>
        <w:bidi w:val="0"/>
        <w:adjustRightInd/>
        <w:snapToGrid/>
        <w:spacing w:line="360" w:lineRule="auto"/>
        <w:ind w:firstLine="634"/>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第二条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bCs w:val="0"/>
          <w:color w:val="000000"/>
          <w:sz w:val="24"/>
          <w:szCs w:val="24"/>
        </w:rPr>
        <w:t>工程</w:t>
      </w:r>
      <w:r>
        <w:rPr>
          <w:rFonts w:hint="eastAsia" w:asciiTheme="minorEastAsia" w:hAnsiTheme="minorEastAsia" w:eastAsiaTheme="minorEastAsia" w:cstheme="minorEastAsia"/>
          <w:color w:val="000000"/>
          <w:sz w:val="24"/>
          <w:szCs w:val="24"/>
        </w:rPr>
        <w:t>造价咨询企业信用是企业履约能力、履约意愿、历史信用记录等的综合反映。</w:t>
      </w:r>
    </w:p>
    <w:p>
      <w:pPr>
        <w:pStyle w:val="11"/>
        <w:keepNext w:val="0"/>
        <w:keepLines w:val="0"/>
        <w:pageBreakBefore w:val="0"/>
        <w:kinsoku/>
        <w:wordWrap/>
        <w:overflowPunct/>
        <w:topLinePunct w:val="0"/>
        <w:bidi w:val="0"/>
        <w:adjustRightInd/>
        <w:snapToGrid/>
        <w:spacing w:line="360" w:lineRule="auto"/>
        <w:ind w:firstLine="634"/>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第三条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本办法所称的信用评价，是指遵照相关法律、法规，按照本办法规定的程序和方法，对工程造价咨询企业的基本情况、经营管理、良好行为及不良行为等开展评价、确定信用等级及对信用信息进行记录、发布等的活动。</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第四条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本办法适用于中国建设工程造价管理协会（以下简称“中价协”） 对单位会员中自愿参加信用评价的工程造价咨询企业信用进行评价及监督管理。</w:t>
      </w:r>
    </w:p>
    <w:p>
      <w:pPr>
        <w:pStyle w:val="2"/>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left="0" w:right="0"/>
        <w:jc w:val="center"/>
        <w:textAlignment w:val="auto"/>
        <w:outlineLvl w:val="1"/>
        <w:rPr>
          <w:rFonts w:hint="eastAsia" w:asciiTheme="minorEastAsia" w:hAnsiTheme="minorEastAsia" w:eastAsiaTheme="minorEastAsia" w:cstheme="minorEastAsia"/>
          <w:b/>
          <w:bCs/>
          <w:color w:val="000000"/>
          <w:kern w:val="0"/>
          <w:sz w:val="24"/>
          <w:szCs w:val="24"/>
          <w:lang w:val="en-US" w:bidi="ar-SA"/>
        </w:rPr>
      </w:pPr>
      <w:r>
        <w:rPr>
          <w:rFonts w:hint="eastAsia" w:asciiTheme="minorEastAsia" w:hAnsiTheme="minorEastAsia" w:eastAsiaTheme="minorEastAsia" w:cstheme="minorEastAsia"/>
          <w:b/>
          <w:bCs/>
          <w:color w:val="000000"/>
          <w:kern w:val="0"/>
          <w:sz w:val="24"/>
          <w:szCs w:val="24"/>
          <w:lang w:val="en-US" w:bidi="ar-SA"/>
        </w:rPr>
        <w:t>第二章  信用评价组织</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第五条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中价协负责工程造价咨询企业信用评价的组织和管理工作，具体工作由各省级工程造价行业协会及中价协各工作委员会进行实施。</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第六条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各省级工程造价行业协会及中价协各工作委员会是信用评价的初评机构，负责本地区、本行业信用评价的初评、上报及相应的监督、核查等工作。中价协负责评价结果的确认和发布。</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第七条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各省级工程造价行业协会可将信用评价的初评工作交由各地市级造价行业协会具体实施，省级工程造价行业协会及中价协各工作委员会负责信用评价工作的评审和上报。</w:t>
      </w:r>
    </w:p>
    <w:p>
      <w:pPr>
        <w:pStyle w:val="11"/>
        <w:keepNext w:val="0"/>
        <w:keepLines w:val="0"/>
        <w:pageBreakBefore w:val="0"/>
        <w:kinsoku/>
        <w:wordWrap/>
        <w:overflowPunct/>
        <w:topLinePunct w:val="0"/>
        <w:bidi w:val="0"/>
        <w:adjustRightInd/>
        <w:snapToGrid/>
        <w:spacing w:line="360" w:lineRule="auto"/>
        <w:ind w:firstLine="634"/>
        <w:textAlignment w:val="auto"/>
        <w:rPr>
          <w:rFonts w:hint="eastAsia" w:asciiTheme="minorEastAsia" w:hAnsiTheme="minorEastAsia" w:eastAsiaTheme="minorEastAsia" w:cstheme="minorEastAsia"/>
          <w:color w:val="000000"/>
          <w:sz w:val="24"/>
          <w:szCs w:val="24"/>
          <w:shd w:val="clear" w:color="auto" w:fill="FFFFFF"/>
        </w:rPr>
      </w:pPr>
      <w:r>
        <w:rPr>
          <w:rFonts w:hint="eastAsia" w:asciiTheme="minorEastAsia" w:hAnsiTheme="minorEastAsia" w:eastAsiaTheme="minorEastAsia" w:cstheme="minorEastAsia"/>
          <w:b/>
          <w:color w:val="000000"/>
          <w:sz w:val="24"/>
          <w:szCs w:val="24"/>
        </w:rPr>
        <w:t xml:space="preserve">第八条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shd w:val="clear" w:color="auto" w:fill="FFFFFF"/>
        </w:rPr>
        <w:t>信用评价应设立信用评价工作组，负责工程造价咨询企业信用信息的采集、核查、评分、公示、发布、评价资料的管理等相关工作。</w:t>
      </w:r>
    </w:p>
    <w:p>
      <w:pPr>
        <w:pStyle w:val="2"/>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left="0" w:right="0"/>
        <w:jc w:val="center"/>
        <w:textAlignment w:val="auto"/>
        <w:outlineLvl w:val="1"/>
        <w:rPr>
          <w:rFonts w:hint="eastAsia" w:asciiTheme="minorEastAsia" w:hAnsiTheme="minorEastAsia" w:eastAsiaTheme="minorEastAsia" w:cstheme="minorEastAsia"/>
          <w:b/>
          <w:bCs/>
          <w:color w:val="000000"/>
          <w:kern w:val="0"/>
          <w:sz w:val="24"/>
          <w:szCs w:val="24"/>
          <w:lang w:val="en-US" w:bidi="ar-SA"/>
        </w:rPr>
      </w:pPr>
      <w:r>
        <w:rPr>
          <w:rFonts w:hint="eastAsia" w:asciiTheme="minorEastAsia" w:hAnsiTheme="minorEastAsia" w:eastAsiaTheme="minorEastAsia" w:cstheme="minorEastAsia"/>
          <w:b/>
          <w:bCs/>
          <w:color w:val="000000"/>
          <w:kern w:val="0"/>
          <w:sz w:val="24"/>
          <w:szCs w:val="24"/>
          <w:lang w:val="en-US" w:bidi="ar-SA"/>
        </w:rPr>
        <w:t>第三章  信用评价的依据和原则</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第九条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信用评价工作的依据：</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（一）国家有关法律、法规、规章等；</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（二）行业规范性文件、规定及标准等；</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（三）政府有关部门和工程造价行业管理机构及行业协会的表彰、奖励、专项检查、核查、抽查结果等；</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（四）已生效的判决书或仲裁裁决书； </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（五）已生效的行政或司法机关的处罚决定书；</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（六）工程造价咨询统计报表制度；</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（七）各级工程造价咨询监管系统中的有关信息；</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（八）企业在住建部及各省、自治区、直辖市及地市主管部门和中价协各工作委员会系统中上报的相关数据；</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（九）企业在各级政府机关或部门的信用档案信息；</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（十）企业从业人员在各级政府机关或部门的信用档案信息；</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（十一）其它相关信用信息等。</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第十条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信用评价工作遵循以下原则：</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（一）独立、客观、公正、科学； </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（二）政府引导、行业自律、社会监督；</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（三）社会需求和行业发展导向相结合；</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（四）充分利用信息化手段，减轻企业负担；</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（五）能力与信用相结合；</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（六）企业自愿。</w:t>
      </w:r>
    </w:p>
    <w:p>
      <w:pPr>
        <w:pStyle w:val="2"/>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left="0" w:right="0"/>
        <w:jc w:val="center"/>
        <w:textAlignment w:val="auto"/>
        <w:outlineLvl w:val="1"/>
        <w:rPr>
          <w:rFonts w:hint="eastAsia" w:asciiTheme="minorEastAsia" w:hAnsiTheme="minorEastAsia" w:eastAsiaTheme="minorEastAsia" w:cstheme="minorEastAsia"/>
          <w:b/>
          <w:bCs/>
          <w:color w:val="000000"/>
          <w:kern w:val="0"/>
          <w:sz w:val="24"/>
          <w:szCs w:val="24"/>
          <w:lang w:val="en-US" w:bidi="ar-SA"/>
        </w:rPr>
      </w:pPr>
      <w:r>
        <w:rPr>
          <w:rFonts w:hint="eastAsia" w:asciiTheme="minorEastAsia" w:hAnsiTheme="minorEastAsia" w:eastAsiaTheme="minorEastAsia" w:cstheme="minorEastAsia"/>
          <w:b/>
          <w:bCs/>
          <w:color w:val="000000"/>
          <w:kern w:val="0"/>
          <w:sz w:val="24"/>
          <w:szCs w:val="24"/>
          <w:lang w:val="en-US" w:bidi="ar-SA"/>
        </w:rPr>
        <w:t>第四章  信用评价标准</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第十一条</w:t>
      </w:r>
      <w:r>
        <w:rPr>
          <w:rFonts w:hint="eastAsia" w:asciiTheme="minorEastAsia" w:hAnsiTheme="minorEastAsia" w:eastAsiaTheme="minorEastAsia" w:cstheme="minorEastAsia"/>
          <w:color w:val="000000"/>
          <w:sz w:val="24"/>
          <w:szCs w:val="24"/>
        </w:rPr>
        <w:t xml:space="preserve"> </w:t>
      </w:r>
      <w:r>
        <w:rPr>
          <w:rFonts w:hint="eastAsia" w:asciiTheme="minorEastAsia" w:hAnsiTheme="minorEastAsia" w:eastAsiaTheme="minorEastAsia" w:cstheme="minorEastAsia"/>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信用评价采用百分制对评价内容进行评分，评价内容分为基本情况及经营管理得分、良好行为加分和不良行为扣分等。其中：良好行为加分</w:t>
      </w:r>
      <w:r>
        <w:rPr>
          <w:rFonts w:hint="eastAsia" w:asciiTheme="minorEastAsia" w:hAnsiTheme="minorEastAsia" w:eastAsiaTheme="minorEastAsia" w:cstheme="minorEastAsia"/>
          <w:sz w:val="24"/>
          <w:szCs w:val="24"/>
        </w:rPr>
        <w:t>限额10分</w:t>
      </w:r>
      <w:r>
        <w:rPr>
          <w:rFonts w:hint="eastAsia" w:asciiTheme="minorEastAsia" w:hAnsiTheme="minorEastAsia" w:eastAsiaTheme="minorEastAsia" w:cstheme="minorEastAsia"/>
          <w:color w:val="000000"/>
          <w:sz w:val="24"/>
          <w:szCs w:val="24"/>
        </w:rPr>
        <w:t>，不良行为扣分不限额。</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本办法所称良好行为，是指工程造价咨询企业在工程造价从业活动中遵守有关工程建设的法律、法规、规章、规范、标准及相关文件的规定，行为规范，诚信经营，自觉维护市场秩序，积极履行社会责任，受到各级人民政府、工程建设行政主管部门等相关政府部门、造价行业管理机构及造价行业协会等的表彰、奖励和表扬等的行为。</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本办法所称不良行为，是指工程造价咨询企业在工程造价从业活动中违反有关工程建设的法律、法规、规章、规范、标准、执业行为规范及相关文件的规定，受到司法判决或受到各级人民政府、工程建设行政主管部门等相关政府部门、造价行业管理机构等的行政处罚、通报批评、责令整改、约谈等，或受到投诉举报被查实等的行为，或违反行业自律规定受到行业协会惩戒或通报的行为。</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000000"/>
          <w:sz w:val="24"/>
          <w:szCs w:val="24"/>
        </w:rPr>
        <w:t xml:space="preserve">第十二条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基本情况及经营管理得分评价项满足或超过要求的，评价时按项计分，每项得分不超过该项得分满分；基本情况及经营管理得分评价项不满足要求或违反相关规定的，评价时按项扣</w:t>
      </w:r>
      <w:r>
        <w:rPr>
          <w:rFonts w:hint="eastAsia" w:asciiTheme="minorEastAsia" w:hAnsiTheme="minorEastAsia" w:eastAsiaTheme="minorEastAsia" w:cstheme="minorEastAsia"/>
          <w:sz w:val="24"/>
          <w:szCs w:val="24"/>
        </w:rPr>
        <w:t>分，每一评价项的扣分不超过本项扣分限额；良好行为加分和不良行为扣分分别按附件3和附件4的加分和扣分标准评价。</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良好行为和不良行为的有效期一般规定为三年。各省级评价机构也可结合具体情况确定良好行为和不良行为有效期，但不良行为有效期不应低于其相关处罚期限。</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第十三条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工程造价咨询企业信用等级分为AAA、AA、A、B、C三等五级。</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AAA表示信用很好，综合能力很强， AA表示信用很好，综合能力强，A表示信用好，综合能力较强、B表示信用一般， C表示信用较差。</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第十四条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信用评价实行评分制，评价结果采用按分值区间确定的原则，信用等级实行动态评价、动态管理。</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第十五条 </w:t>
      </w:r>
      <w:r>
        <w:rPr>
          <w:rFonts w:hint="eastAsia" w:asciiTheme="minorEastAsia" w:hAnsiTheme="minorEastAsia" w:eastAsiaTheme="minorEastAsia" w:cstheme="minorEastAsia"/>
          <w:color w:val="000000"/>
          <w:sz w:val="24"/>
          <w:szCs w:val="24"/>
        </w:rPr>
        <w:t>信用等级根据信用评价标准得分结果确定，信用等级与信用评价得分对应关系如下：</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p>
    <w:tbl>
      <w:tblPr>
        <w:tblStyle w:val="6"/>
        <w:tblW w:w="77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268"/>
        <w:gridCol w:w="2597"/>
        <w:gridCol w:w="1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序号</w:t>
            </w:r>
          </w:p>
        </w:tc>
        <w:tc>
          <w:tcPr>
            <w:tcW w:w="2268"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信用等级</w:t>
            </w:r>
          </w:p>
        </w:tc>
        <w:tc>
          <w:tcPr>
            <w:tcW w:w="2597"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评价得分</w:t>
            </w:r>
          </w:p>
        </w:tc>
        <w:tc>
          <w:tcPr>
            <w:tcW w:w="1797"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w:t>
            </w:r>
          </w:p>
        </w:tc>
        <w:tc>
          <w:tcPr>
            <w:tcW w:w="2268"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AAA</w:t>
            </w:r>
          </w:p>
        </w:tc>
        <w:tc>
          <w:tcPr>
            <w:tcW w:w="2597"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default" w:ascii="Arial" w:hAnsi="Arial" w:cs="Arial" w:eastAsiaTheme="minorEastAsia"/>
                <w:color w:val="000000"/>
                <w:sz w:val="24"/>
                <w:szCs w:val="24"/>
              </w:rPr>
              <w:t>≥</w:t>
            </w:r>
            <w:r>
              <w:rPr>
                <w:rFonts w:hint="eastAsia" w:asciiTheme="minorEastAsia" w:hAnsiTheme="minorEastAsia" w:eastAsiaTheme="minorEastAsia" w:cstheme="minorEastAsia"/>
                <w:sz w:val="24"/>
                <w:szCs w:val="24"/>
              </w:rPr>
              <w:t>80</w:t>
            </w:r>
          </w:p>
        </w:tc>
        <w:tc>
          <w:tcPr>
            <w:tcW w:w="1797"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w:t>
            </w:r>
          </w:p>
        </w:tc>
        <w:tc>
          <w:tcPr>
            <w:tcW w:w="2268"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AA</w:t>
            </w:r>
          </w:p>
        </w:tc>
        <w:tc>
          <w:tcPr>
            <w:tcW w:w="2597"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70</w:t>
            </w:r>
            <w:r>
              <w:rPr>
                <w:rFonts w:hint="eastAsia" w:ascii="宋体" w:hAnsi="宋体" w:eastAsia="宋体" w:cs="宋体"/>
                <w:color w:val="000000"/>
                <w:sz w:val="24"/>
                <w:szCs w:val="24"/>
              </w:rPr>
              <w:t>—</w:t>
            </w:r>
            <w:r>
              <w:rPr>
                <w:rFonts w:hint="eastAsia" w:asciiTheme="minorEastAsia" w:hAnsiTheme="minorEastAsia" w:eastAsiaTheme="minorEastAsia" w:cstheme="minorEastAsia"/>
                <w:color w:val="000000"/>
                <w:sz w:val="24"/>
                <w:szCs w:val="24"/>
              </w:rPr>
              <w:t>80（不含）</w:t>
            </w:r>
          </w:p>
        </w:tc>
        <w:tc>
          <w:tcPr>
            <w:tcW w:w="1797"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w:t>
            </w:r>
          </w:p>
        </w:tc>
        <w:tc>
          <w:tcPr>
            <w:tcW w:w="2268"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A</w:t>
            </w:r>
          </w:p>
        </w:tc>
        <w:tc>
          <w:tcPr>
            <w:tcW w:w="2597"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60</w:t>
            </w:r>
            <w:r>
              <w:rPr>
                <w:rFonts w:hint="eastAsia" w:ascii="宋体" w:hAnsi="宋体" w:eastAsia="宋体" w:cs="宋体"/>
                <w:color w:val="000000"/>
                <w:sz w:val="24"/>
                <w:szCs w:val="24"/>
              </w:rPr>
              <w:t>—</w:t>
            </w:r>
            <w:r>
              <w:rPr>
                <w:rFonts w:hint="eastAsia" w:asciiTheme="minorEastAsia" w:hAnsiTheme="minorEastAsia" w:eastAsiaTheme="minorEastAsia" w:cstheme="minorEastAsia"/>
                <w:color w:val="000000"/>
                <w:sz w:val="24"/>
                <w:szCs w:val="24"/>
              </w:rPr>
              <w:t>70（不含）</w:t>
            </w:r>
          </w:p>
        </w:tc>
        <w:tc>
          <w:tcPr>
            <w:tcW w:w="1797"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w:t>
            </w:r>
          </w:p>
        </w:tc>
        <w:tc>
          <w:tcPr>
            <w:tcW w:w="2268"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B</w:t>
            </w:r>
          </w:p>
        </w:tc>
        <w:tc>
          <w:tcPr>
            <w:tcW w:w="2597"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50</w:t>
            </w:r>
            <w:r>
              <w:rPr>
                <w:rFonts w:hint="eastAsia" w:ascii="宋体" w:hAnsi="宋体" w:eastAsia="宋体" w:cs="宋体"/>
                <w:color w:val="000000"/>
                <w:sz w:val="24"/>
                <w:szCs w:val="24"/>
              </w:rPr>
              <w:t>—</w:t>
            </w:r>
            <w:r>
              <w:rPr>
                <w:rFonts w:hint="eastAsia" w:asciiTheme="minorEastAsia" w:hAnsiTheme="minorEastAsia" w:eastAsiaTheme="minorEastAsia" w:cstheme="minorEastAsia"/>
                <w:color w:val="000000"/>
                <w:sz w:val="24"/>
                <w:szCs w:val="24"/>
              </w:rPr>
              <w:t>60（不含）</w:t>
            </w:r>
          </w:p>
        </w:tc>
        <w:tc>
          <w:tcPr>
            <w:tcW w:w="1797"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w:t>
            </w:r>
          </w:p>
        </w:tc>
        <w:tc>
          <w:tcPr>
            <w:tcW w:w="2268"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C</w:t>
            </w:r>
          </w:p>
        </w:tc>
        <w:tc>
          <w:tcPr>
            <w:tcW w:w="2597"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r>
              <w:rPr>
                <w:rFonts w:hint="eastAsia" w:ascii="宋体" w:hAnsi="宋体" w:eastAsia="宋体" w:cs="宋体"/>
                <w:color w:val="000000"/>
                <w:sz w:val="24"/>
                <w:szCs w:val="24"/>
              </w:rPr>
              <w:t>&lt;</w:t>
            </w:r>
            <w:r>
              <w:rPr>
                <w:rFonts w:hint="eastAsia" w:asciiTheme="minorEastAsia" w:hAnsiTheme="minorEastAsia" w:eastAsiaTheme="minorEastAsia" w:cstheme="minorEastAsia"/>
                <w:color w:val="000000"/>
                <w:sz w:val="24"/>
                <w:szCs w:val="24"/>
              </w:rPr>
              <w:t xml:space="preserve">50 </w:t>
            </w:r>
          </w:p>
        </w:tc>
        <w:tc>
          <w:tcPr>
            <w:tcW w:w="1797" w:type="dxa"/>
            <w:noWrap w:val="0"/>
            <w:vAlign w:val="center"/>
          </w:tcPr>
          <w:p>
            <w:pPr>
              <w:keepNext w:val="0"/>
              <w:keepLines w:val="0"/>
              <w:pageBreakBefore w:val="0"/>
              <w:kinsoku/>
              <w:wordWrap/>
              <w:overflowPunct/>
              <w:topLinePunct w:val="0"/>
              <w:bidi w:val="0"/>
              <w:adjustRightInd/>
              <w:snapToGrid/>
              <w:spacing w:line="360" w:lineRule="auto"/>
              <w:jc w:val="center"/>
              <w:textAlignment w:val="auto"/>
              <w:rPr>
                <w:rFonts w:hint="eastAsia" w:asciiTheme="minorEastAsia" w:hAnsiTheme="minorEastAsia" w:eastAsiaTheme="minorEastAsia" w:cstheme="minorEastAsia"/>
                <w:color w:val="000000"/>
                <w:sz w:val="24"/>
                <w:szCs w:val="24"/>
              </w:rPr>
            </w:pPr>
          </w:p>
        </w:tc>
      </w:tr>
    </w:tbl>
    <w:p>
      <w:pPr>
        <w:pStyle w:val="2"/>
        <w:keepNext w:val="0"/>
        <w:keepLines w:val="0"/>
        <w:pageBreakBefore w:val="0"/>
        <w:widowControl/>
        <w:kinsoku/>
        <w:wordWrap/>
        <w:overflowPunct/>
        <w:topLinePunct w:val="0"/>
        <w:autoSpaceDE/>
        <w:autoSpaceDN/>
        <w:bidi w:val="0"/>
        <w:adjustRightInd/>
        <w:snapToGrid/>
        <w:spacing w:before="313" w:beforeLines="100" w:beforeAutospacing="0" w:after="0" w:afterAutospacing="0" w:line="360" w:lineRule="auto"/>
        <w:ind w:left="0" w:right="0"/>
        <w:jc w:val="center"/>
        <w:textAlignment w:val="auto"/>
        <w:outlineLvl w:val="1"/>
        <w:rPr>
          <w:rFonts w:hint="eastAsia" w:asciiTheme="minorEastAsia" w:hAnsiTheme="minorEastAsia" w:eastAsiaTheme="minorEastAsia" w:cstheme="minorEastAsia"/>
          <w:b/>
          <w:bCs/>
          <w:color w:val="000000"/>
          <w:kern w:val="0"/>
          <w:sz w:val="24"/>
          <w:szCs w:val="24"/>
          <w:lang w:val="en-US" w:bidi="ar-SA"/>
        </w:rPr>
      </w:pPr>
      <w:r>
        <w:rPr>
          <w:rFonts w:hint="eastAsia" w:asciiTheme="minorEastAsia" w:hAnsiTheme="minorEastAsia" w:eastAsiaTheme="minorEastAsia" w:cstheme="minorEastAsia"/>
          <w:b/>
          <w:bCs/>
          <w:color w:val="000000"/>
          <w:kern w:val="0"/>
          <w:sz w:val="24"/>
          <w:szCs w:val="24"/>
          <w:lang w:val="en-US" w:bidi="ar-SA"/>
        </w:rPr>
        <w:t>第五章  信用评价要求</w:t>
      </w:r>
    </w:p>
    <w:p>
      <w:pPr>
        <w:keepNext w:val="0"/>
        <w:keepLines w:val="0"/>
        <w:pageBreakBefore w:val="0"/>
        <w:widowControl w:val="0"/>
        <w:kinsoku/>
        <w:wordWrap/>
        <w:overflowPunct/>
        <w:topLinePunct w:val="0"/>
        <w:autoSpaceDE w:val="0"/>
        <w:autoSpaceDN w:val="0"/>
        <w:bidi w:val="0"/>
        <w:adjustRightInd/>
        <w:snapToGrid/>
        <w:spacing w:before="157" w:beforeLines="50" w:beforeAutospacing="0" w:after="0" w:afterAutospacing="0"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第十六条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参评企业应为中价协单位会员，且取得营业执照1年（含）以上。</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第十七条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参评企业应在中价协统一的工程造价咨询企业信用评价系统上提出申请并建立档案。</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第十八条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信用评价工作实行动态评价，新申请评价的工程造价咨询企业应根据中价协相关工作通知要求的时间上报申请，已取得信用等级的工程造价咨询企业可随时更新相关信息。</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第十九条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工程造价咨询企业申请信用评价，必须包含其所有的分支机构，分支机构的良好行为和不良行为纳入其所属法人企业评价。</w:t>
      </w:r>
    </w:p>
    <w:p>
      <w:pPr>
        <w:keepNext w:val="0"/>
        <w:keepLines w:val="0"/>
        <w:pageBreakBefore w:val="0"/>
        <w:kinsoku/>
        <w:wordWrap/>
        <w:overflowPunct/>
        <w:topLinePunct w:val="0"/>
        <w:bidi w:val="0"/>
        <w:adjustRightInd/>
        <w:snapToGrid/>
        <w:spacing w:before="0" w:beforeAutospacing="0" w:after="0" w:afterAutospacing="0"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第二十条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省、市信用评价机构如派员到参评企业现场核实，应成立工作小组。</w:t>
      </w:r>
    </w:p>
    <w:p>
      <w:pPr>
        <w:pStyle w:val="2"/>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ind w:left="0" w:right="0"/>
        <w:jc w:val="center"/>
        <w:textAlignment w:val="auto"/>
        <w:outlineLvl w:val="1"/>
        <w:rPr>
          <w:rFonts w:hint="eastAsia" w:asciiTheme="minorEastAsia" w:hAnsiTheme="minorEastAsia" w:eastAsiaTheme="minorEastAsia" w:cstheme="minorEastAsia"/>
          <w:b/>
          <w:bCs/>
          <w:color w:val="000000"/>
          <w:kern w:val="0"/>
          <w:sz w:val="24"/>
          <w:szCs w:val="24"/>
          <w:lang w:val="en-US" w:bidi="ar-SA"/>
        </w:rPr>
      </w:pPr>
      <w:r>
        <w:rPr>
          <w:rFonts w:hint="eastAsia" w:asciiTheme="minorEastAsia" w:hAnsiTheme="minorEastAsia" w:eastAsiaTheme="minorEastAsia" w:cstheme="minorEastAsia"/>
          <w:b/>
          <w:bCs/>
          <w:color w:val="000000"/>
          <w:kern w:val="0"/>
          <w:sz w:val="24"/>
          <w:szCs w:val="24"/>
          <w:lang w:val="en-US" w:bidi="ar-SA"/>
        </w:rPr>
        <w:t>第六章  信用评价内容</w:t>
      </w:r>
    </w:p>
    <w:p>
      <w:pPr>
        <w:pStyle w:val="3"/>
        <w:keepNext w:val="0"/>
        <w:keepLines w:val="0"/>
        <w:pageBreakBefore w:val="0"/>
        <w:widowControl w:val="0"/>
        <w:kinsoku/>
        <w:wordWrap/>
        <w:overflowPunct/>
        <w:topLinePunct w:val="0"/>
        <w:autoSpaceDE w:val="0"/>
        <w:autoSpaceDN w:val="0"/>
        <w:bidi w:val="0"/>
        <w:adjustRightInd/>
        <w:snapToGrid/>
        <w:spacing w:before="157" w:beforeLines="50" w:line="360" w:lineRule="auto"/>
        <w:ind w:firstLine="634"/>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第二十一条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信用评价的内容主要包括：</w:t>
      </w:r>
    </w:p>
    <w:p>
      <w:pPr>
        <w:pStyle w:val="3"/>
        <w:keepNext w:val="0"/>
        <w:keepLines w:val="0"/>
        <w:pageBreakBefore w:val="0"/>
        <w:kinsoku/>
        <w:wordWrap/>
        <w:overflowPunct/>
        <w:topLinePunct w:val="0"/>
        <w:bidi w:val="0"/>
        <w:adjustRightInd/>
        <w:snapToGrid/>
        <w:spacing w:line="360" w:lineRule="auto"/>
        <w:ind w:firstLine="632"/>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（一）基本情况：人员结构、各类组织等；</w:t>
      </w:r>
    </w:p>
    <w:p>
      <w:pPr>
        <w:pStyle w:val="3"/>
        <w:keepNext w:val="0"/>
        <w:keepLines w:val="0"/>
        <w:pageBreakBefore w:val="0"/>
        <w:kinsoku/>
        <w:wordWrap/>
        <w:overflowPunct/>
        <w:topLinePunct w:val="0"/>
        <w:bidi w:val="0"/>
        <w:adjustRightInd/>
        <w:snapToGrid/>
        <w:spacing w:line="360" w:lineRule="auto"/>
        <w:ind w:firstLine="632"/>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（二）经营管理：经营能力、管理能力、教育培训、信息化、文化建设与社会责任等；</w:t>
      </w:r>
    </w:p>
    <w:p>
      <w:pPr>
        <w:pStyle w:val="3"/>
        <w:keepNext w:val="0"/>
        <w:keepLines w:val="0"/>
        <w:pageBreakBefore w:val="0"/>
        <w:kinsoku/>
        <w:wordWrap/>
        <w:overflowPunct/>
        <w:topLinePunct w:val="0"/>
        <w:bidi w:val="0"/>
        <w:adjustRightInd/>
        <w:snapToGrid/>
        <w:spacing w:line="360" w:lineRule="auto"/>
        <w:ind w:firstLine="632"/>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（三）各地自主评分或自定义评价项：社会评价、成果质量等；</w:t>
      </w:r>
    </w:p>
    <w:p>
      <w:pPr>
        <w:pStyle w:val="3"/>
        <w:keepNext w:val="0"/>
        <w:keepLines w:val="0"/>
        <w:pageBreakBefore w:val="0"/>
        <w:kinsoku/>
        <w:wordWrap/>
        <w:overflowPunct/>
        <w:topLinePunct w:val="0"/>
        <w:bidi w:val="0"/>
        <w:adjustRightInd/>
        <w:snapToGrid/>
        <w:spacing w:line="360" w:lineRule="auto"/>
        <w:ind w:firstLine="632"/>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（四）良好行为和不良行为：良好行为加分、不良行为扣分。</w:t>
      </w:r>
    </w:p>
    <w:p>
      <w:pPr>
        <w:pStyle w:val="2"/>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ind w:left="0" w:right="0"/>
        <w:jc w:val="center"/>
        <w:textAlignment w:val="auto"/>
        <w:outlineLvl w:val="1"/>
        <w:rPr>
          <w:rFonts w:hint="eastAsia" w:asciiTheme="minorEastAsia" w:hAnsiTheme="minorEastAsia" w:eastAsiaTheme="minorEastAsia" w:cstheme="minorEastAsia"/>
          <w:b/>
          <w:bCs/>
          <w:color w:val="000000"/>
          <w:kern w:val="0"/>
          <w:sz w:val="24"/>
          <w:szCs w:val="24"/>
          <w:lang w:val="en-US" w:bidi="ar-SA"/>
        </w:rPr>
      </w:pPr>
      <w:r>
        <w:rPr>
          <w:rFonts w:hint="eastAsia" w:asciiTheme="minorEastAsia" w:hAnsiTheme="minorEastAsia" w:eastAsiaTheme="minorEastAsia" w:cstheme="minorEastAsia"/>
          <w:b/>
          <w:bCs/>
          <w:color w:val="000000"/>
          <w:kern w:val="0"/>
          <w:sz w:val="24"/>
          <w:szCs w:val="24"/>
          <w:lang w:val="en-US" w:bidi="ar-SA"/>
        </w:rPr>
        <w:t>第七章  信用评价程序</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firstLine="482" w:firstLineChars="200"/>
        <w:textAlignment w:val="auto"/>
        <w:rPr>
          <w:rFonts w:hint="eastAsia" w:asciiTheme="minorEastAsia" w:hAnsiTheme="minorEastAsia" w:eastAsiaTheme="minorEastAsia" w:cstheme="minorEastAsia"/>
          <w:color w:val="000000"/>
          <w:sz w:val="24"/>
          <w:szCs w:val="24"/>
          <w:shd w:val="clear" w:color="auto" w:fill="FFFFFF"/>
        </w:rPr>
      </w:pPr>
      <w:r>
        <w:rPr>
          <w:rFonts w:hint="eastAsia" w:asciiTheme="minorEastAsia" w:hAnsiTheme="minorEastAsia" w:eastAsiaTheme="minorEastAsia" w:cstheme="minorEastAsia"/>
          <w:b/>
          <w:color w:val="000000"/>
          <w:sz w:val="24"/>
          <w:szCs w:val="24"/>
        </w:rPr>
        <w:t xml:space="preserve">第二十二条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shd w:val="clear" w:color="auto" w:fill="FFFFFF"/>
        </w:rPr>
        <w:t>中价协负责信用评价系统的开发、运行和维护，确保信用评价系统运行可靠、信息共享、数据安全。</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第二十三条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中价协根据信用评价工作的布置和要求，将其信用评价系统对各省级评价机构及中价协各工作委员会和地市级评价机构开放相应的初评和评审权限。</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第二十四条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参评企业自愿申请信用评价。首次申请信用评价的企业应在中价协信用评价系统上注册，并在线填报有关信用评价的相关信息。</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000000"/>
          <w:sz w:val="24"/>
          <w:szCs w:val="24"/>
        </w:rPr>
        <w:t xml:space="preserve">第二十五条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信用评价工作开始后，评价系统自动从</w:t>
      </w:r>
      <w:r>
        <w:rPr>
          <w:rFonts w:hint="eastAsia" w:asciiTheme="minorEastAsia" w:hAnsiTheme="minorEastAsia" w:eastAsiaTheme="minorEastAsia" w:cstheme="minorEastAsia"/>
          <w:sz w:val="24"/>
          <w:szCs w:val="24"/>
        </w:rPr>
        <w:t>工程造价咨询统计报表系统、造价咨询企业和造价工程师管理系统、会员服务系统等获取相关数据并自动对相应评价指标赋分。</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不能从以上系统中获取的指标或从以上系统中获取的指标不完整、不准确的，由</w:t>
      </w:r>
      <w:r>
        <w:rPr>
          <w:rFonts w:hint="eastAsia" w:asciiTheme="minorEastAsia" w:hAnsiTheme="minorEastAsia" w:eastAsiaTheme="minorEastAsia" w:cstheme="minorEastAsia"/>
          <w:color w:val="000000"/>
          <w:sz w:val="24"/>
          <w:szCs w:val="24"/>
        </w:rPr>
        <w:t>参评企业根据实际情况在系统中自行填报，并准备相应的基础资料备查。</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 xml:space="preserve">第二十六条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信用评价工作组对其认为需要到参评企业现场核实的评价内容，可派遣信用评价工作小组到现场进行核实，根据实际核实情况进行评分，企业应予配合。</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第二十七条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良好行为和不良行为。良好行为和不良行为可由各参评企业、各级信用评价机构录入，并在信用评价系统上及时更新。各级信用评价机构按信用评价标准的规定，对工程造价咨询企业信用评价得分进行加分和扣分。</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良好行为和不良行为具体内容详见本办法附件3和附件4。</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第二十八条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初评结束后，初评机构在系统中确认，系统自动将初评结果上传上级评价机构。</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第二十九条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省级信用评价机构对初评结果进行复核、评审，并将评审结果上传中价协。</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第三十条 </w:t>
      </w:r>
      <w:r>
        <w:rPr>
          <w:rFonts w:hint="eastAsia" w:asciiTheme="minorEastAsia" w:hAnsiTheme="minorEastAsia" w:eastAsiaTheme="minorEastAsia" w:cstheme="minorEastAsia"/>
          <w:color w:val="000000"/>
          <w:sz w:val="24"/>
          <w:szCs w:val="24"/>
        </w:rPr>
        <w:t>中价协收到省级信用评价机构的评价结果，经确认无误后形成最终评价结果。</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第三十一条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中价协公示评价结果。中价协将最终评价结果在中价协网站进行公示，公示期10个工作日。</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公示期内接受投诉、举报及异议申请，并按规定的流程进行处理。</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第三十二条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对评价结果有异议的企业可向评审机构申请复核，评审机构收到复核申请后组织复核，应将复核意见告知申请复核的企业并报中价协。</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第三十三条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中价协公布评价结果。中价协对经公示无异议的企业信用等级向社会发布。</w:t>
      </w:r>
    </w:p>
    <w:p>
      <w:pPr>
        <w:pStyle w:val="2"/>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ind w:left="0" w:right="0"/>
        <w:jc w:val="center"/>
        <w:textAlignment w:val="auto"/>
        <w:outlineLvl w:val="1"/>
        <w:rPr>
          <w:rFonts w:hint="eastAsia" w:asciiTheme="minorEastAsia" w:hAnsiTheme="minorEastAsia" w:eastAsiaTheme="minorEastAsia" w:cstheme="minorEastAsia"/>
          <w:b/>
          <w:bCs/>
          <w:color w:val="000000"/>
          <w:kern w:val="0"/>
          <w:sz w:val="24"/>
          <w:szCs w:val="24"/>
          <w:lang w:val="en-US" w:bidi="ar-SA"/>
        </w:rPr>
      </w:pPr>
      <w:r>
        <w:rPr>
          <w:rFonts w:hint="eastAsia" w:asciiTheme="minorEastAsia" w:hAnsiTheme="minorEastAsia" w:eastAsiaTheme="minorEastAsia" w:cstheme="minorEastAsia"/>
          <w:b/>
          <w:bCs/>
          <w:color w:val="000000"/>
          <w:kern w:val="0"/>
          <w:sz w:val="24"/>
          <w:szCs w:val="24"/>
          <w:lang w:val="en-US" w:bidi="ar-SA"/>
        </w:rPr>
        <w:t>第八章  信用等级管理</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第三十四条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工程造价咨询企业信用等级实行动态评价，动态管理，每评定周期末中价协向社会发布的信用等级记入历史信用记录。</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第三十五条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中价协、省级地方协会和中价协各工作委员会应结合行业自律、质量检查等制度加强监督检查，强化对工程造价咨询企业的动态管理，及时查处不良行为，进行行业惩戒，并在中价协信用信息平台予以公布，信用评价机构根据各级信用平台公布的结果，定期调整信用评价分值及相应信用等级。</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第三十六条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已取得信用等级的工程造价咨询企业如发生名称变更、分立或合并等重大变更的，应及时更新信用评价系统内信息。</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第三十七条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取得信用等级的工程造价咨询企业，发生严重不良行为的，中价协应给予降低信用等级处分。本条所指严重不良行为包括：</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（一）企业法定代表人、技术负责人因本企业职务行为受到刑事处罚或严重的行政处罚；</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（二）企业或企业的法定代表人、技术负责人受到行业协会 公开谴责惩戒；</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（三）企业出借、借用资质等级证书进行投标或承接造价咨询业务；</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（四）企业提供虚假评价材料或拒绝接受造价行业管理机构监督检查，情节严重，经查属实；</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（五）有法律、法规、规章及行业规定的其他严重违法、违规行为。</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第三十八条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被降低信用等级的企业由中价协在信用评价系统中进行及时调整，各级造价行业协会在杂志（包括自办刊物）、报纸、网站等新闻媒介予以公布。</w:t>
      </w:r>
    </w:p>
    <w:p>
      <w:pPr>
        <w:pStyle w:val="2"/>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ind w:left="0" w:right="0"/>
        <w:jc w:val="center"/>
        <w:textAlignment w:val="auto"/>
        <w:outlineLvl w:val="1"/>
        <w:rPr>
          <w:rFonts w:hint="eastAsia" w:asciiTheme="minorEastAsia" w:hAnsiTheme="minorEastAsia" w:eastAsiaTheme="minorEastAsia" w:cstheme="minorEastAsia"/>
          <w:b/>
          <w:bCs/>
          <w:color w:val="000000"/>
          <w:kern w:val="0"/>
          <w:sz w:val="24"/>
          <w:szCs w:val="24"/>
          <w:lang w:val="en-US" w:bidi="ar-SA"/>
        </w:rPr>
      </w:pPr>
      <w:r>
        <w:rPr>
          <w:rFonts w:hint="eastAsia" w:asciiTheme="minorEastAsia" w:hAnsiTheme="minorEastAsia" w:eastAsiaTheme="minorEastAsia" w:cstheme="minorEastAsia"/>
          <w:b/>
          <w:bCs/>
          <w:color w:val="000000"/>
          <w:kern w:val="0"/>
          <w:sz w:val="24"/>
          <w:szCs w:val="24"/>
          <w:lang w:val="en-US" w:bidi="ar-SA"/>
        </w:rPr>
        <w:t>第九章  信用等级应用</w:t>
      </w:r>
    </w:p>
    <w:p>
      <w:pPr>
        <w:keepNext w:val="0"/>
        <w:keepLines w:val="0"/>
        <w:pageBreakBefore w:val="0"/>
        <w:widowControl w:val="0"/>
        <w:kinsoku/>
        <w:wordWrap/>
        <w:overflowPunct/>
        <w:topLinePunct w:val="0"/>
        <w:autoSpaceDE w:val="0"/>
        <w:autoSpaceDN w:val="0"/>
        <w:bidi w:val="0"/>
        <w:adjustRightInd/>
        <w:snapToGrid/>
        <w:spacing w:before="157" w:beforeLines="50" w:beforeAutospacing="0" w:after="0" w:afterAutospacing="0"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第三十九条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中价协信用评价系统向社会公开，提供实时查询，接受社会监督。</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第四十条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各级造价行业协会应通过杂志（包括自办刊物）、报纸、网站等新闻媒介将其评价的工程造价咨询企业的信用等级对社会宣传。</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第四十一条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被评价企业动态信用分值、信用等级及特色专业能力、各项信用记录可在信用评价系统实时查看，往期信用等级及能力也可在系统上公开查询。</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第四十二条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信用评价结果的运用：</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（一）根据需要上报政府信用管理相关部门；</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（二）与政府其它职能部门及银行、保险机构等共享；</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（三）企业对社会公众进行宣传；</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（四）鼓励社会主体在委托工程造价咨询业务时使用本评价结果作为重要评价指标之一；</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由于信用等级是动态的，社会主体在使用信用等级作为招标或直接选取造价咨询企业指标的，应明确信用等级的时点；</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（五）公布参评企业的造价咨询项目专业特色，供社会主体选择造价咨询中介机构时参考；</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（六）各级评价机构对其评价的信用等级高、能力范围广的企业，给予以下激励措施：</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1.在杂志（包括自办刊物）、报纸、网站等新闻媒介刊登宣传；</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2.给予更多机会参与造价行业管理机构或协会组织的调研、学术研究等活动；</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3.减少监督检查的频次；</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4.向需求单位推荐。</w:t>
      </w:r>
    </w:p>
    <w:p>
      <w:pPr>
        <w:pStyle w:val="2"/>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left="0" w:right="0"/>
        <w:jc w:val="center"/>
        <w:textAlignment w:val="auto"/>
        <w:outlineLvl w:val="1"/>
        <w:rPr>
          <w:rFonts w:hint="eastAsia" w:asciiTheme="minorEastAsia" w:hAnsiTheme="minorEastAsia" w:eastAsiaTheme="minorEastAsia" w:cstheme="minorEastAsia"/>
          <w:b/>
          <w:bCs/>
          <w:color w:val="000000"/>
          <w:kern w:val="0"/>
          <w:sz w:val="24"/>
          <w:szCs w:val="24"/>
          <w:lang w:val="en-US" w:bidi="ar-SA"/>
        </w:rPr>
      </w:pPr>
      <w:r>
        <w:rPr>
          <w:rFonts w:hint="eastAsia" w:asciiTheme="minorEastAsia" w:hAnsiTheme="minorEastAsia" w:eastAsiaTheme="minorEastAsia" w:cstheme="minorEastAsia"/>
          <w:b/>
          <w:bCs/>
          <w:color w:val="000000"/>
          <w:kern w:val="0"/>
          <w:sz w:val="24"/>
          <w:szCs w:val="24"/>
          <w:lang w:val="en-US" w:bidi="ar-SA"/>
        </w:rPr>
        <w:t>第十章  监督和管理</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第四十三条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申请信用评价的工程造价咨询企业，对申报内容的真实性、合法性、有效性负责，对因提供虚假材料引发的一切后果承担相应责任。</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shd w:val="pct10" w:color="auto" w:fill="FFFFFF"/>
        </w:rPr>
      </w:pPr>
      <w:r>
        <w:rPr>
          <w:rFonts w:hint="eastAsia" w:asciiTheme="minorEastAsia" w:hAnsiTheme="minorEastAsia" w:eastAsiaTheme="minorEastAsia" w:cstheme="minorEastAsia"/>
          <w:b/>
          <w:color w:val="000000"/>
          <w:sz w:val="24"/>
          <w:szCs w:val="24"/>
        </w:rPr>
        <w:t xml:space="preserve">第四十四条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参评企业在中价协信用信息平台已建立的信用档案内容与申报内容有差异的，以信息平台记录的信息内容作为评价依据。出现重大差异的，查实后进行修正，并对填报企业虚报、瞒报的不良行为进行处理。</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第四十五条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对信用评价结果有异议的企业，可向省级评价机构或中价协实名书面提出申诉，并提供书面证明材料。</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第四十六条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信用评价结果接受社会监督。</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第四十七条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各级评价机构对其信用评价工作的真实性和公正性承担责任，并接受上级部门和社会监督。</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第四十八条</w:t>
      </w:r>
      <w:r>
        <w:rPr>
          <w:rFonts w:hint="eastAsia" w:asciiTheme="minorEastAsia" w:hAnsiTheme="minorEastAsia" w:eastAsiaTheme="minorEastAsia" w:cstheme="minorEastAsia"/>
          <w:color w:val="000000"/>
          <w:sz w:val="24"/>
          <w:szCs w:val="24"/>
        </w:rPr>
        <w:t xml:space="preserve"> </w:t>
      </w:r>
      <w:r>
        <w:rPr>
          <w:rFonts w:hint="eastAsia" w:asciiTheme="minorEastAsia" w:hAnsiTheme="minorEastAsia" w:eastAsiaTheme="minorEastAsia" w:cstheme="minorEastAsia"/>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参加信用等级评价的工作人员应认真履行职责，不得徇私舞弊。</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b/>
          <w:bCs/>
          <w:color w:val="000000"/>
          <w:kern w:val="0"/>
          <w:sz w:val="24"/>
          <w:szCs w:val="24"/>
          <w:lang w:val="en-US" w:bidi="ar-SA"/>
        </w:rPr>
      </w:pPr>
      <w:r>
        <w:rPr>
          <w:rFonts w:hint="eastAsia" w:asciiTheme="minorEastAsia" w:hAnsiTheme="minorEastAsia" w:eastAsiaTheme="minorEastAsia" w:cstheme="minorEastAsia"/>
          <w:color w:val="000000"/>
          <w:sz w:val="24"/>
          <w:szCs w:val="24"/>
        </w:rPr>
        <w:t>参与评价工作的单位和个人违反本办法规定的，责令其改正；在工作中玩忽职守、弄虚作假、滥用职权、徇私舞弊的，提请相关单位进行处理；涉嫌犯罪的，提请司法机关依法追究其刑事责任。</w:t>
      </w:r>
    </w:p>
    <w:p>
      <w:pPr>
        <w:pStyle w:val="2"/>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left="0" w:right="0"/>
        <w:jc w:val="center"/>
        <w:textAlignment w:val="auto"/>
        <w:outlineLvl w:val="1"/>
        <w:rPr>
          <w:rFonts w:hint="eastAsia" w:asciiTheme="minorEastAsia" w:hAnsiTheme="minorEastAsia" w:eastAsiaTheme="minorEastAsia" w:cstheme="minorEastAsia"/>
          <w:b/>
          <w:bCs/>
          <w:color w:val="000000"/>
          <w:kern w:val="0"/>
          <w:sz w:val="24"/>
          <w:szCs w:val="24"/>
          <w:lang w:val="en-US" w:bidi="ar-SA"/>
        </w:rPr>
      </w:pPr>
      <w:r>
        <w:rPr>
          <w:rFonts w:hint="eastAsia" w:asciiTheme="minorEastAsia" w:hAnsiTheme="minorEastAsia" w:eastAsiaTheme="minorEastAsia" w:cstheme="minorEastAsia"/>
          <w:b/>
          <w:bCs/>
          <w:color w:val="000000"/>
          <w:kern w:val="0"/>
          <w:sz w:val="24"/>
          <w:szCs w:val="24"/>
          <w:lang w:val="en-US" w:bidi="ar-SA"/>
        </w:rPr>
        <w:t>第十一章  附则</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第四十九条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本办法由中价协组织制定，各级造价行业协会可依据本办法制定具体实施细则。</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第五十条 </w:t>
      </w:r>
      <w:r>
        <w:rPr>
          <w:rFonts w:hint="eastAsia" w:asciiTheme="minorEastAsia" w:hAnsiTheme="minorEastAsia" w:eastAsiaTheme="minorEastAsia" w:cstheme="minorEastAsia"/>
          <w:b/>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本办法所称“省级”，包括自治区、直辖市；所称“地市级”，包括自治州。</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第五十一条</w:t>
      </w:r>
      <w:r>
        <w:rPr>
          <w:rFonts w:hint="eastAsia" w:asciiTheme="minorEastAsia" w:hAnsiTheme="minorEastAsia" w:eastAsiaTheme="minorEastAsia" w:cstheme="minorEastAsia"/>
          <w:color w:val="000000"/>
          <w:sz w:val="24"/>
          <w:szCs w:val="24"/>
        </w:rPr>
        <w:t xml:space="preserve"> </w:t>
      </w:r>
      <w:r>
        <w:rPr>
          <w:rFonts w:hint="eastAsia" w:asciiTheme="minorEastAsia" w:hAnsiTheme="minorEastAsia" w:eastAsiaTheme="minorEastAsia" w:cstheme="minorEastAsia"/>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本办法由中价协负责解释。</w:t>
      </w:r>
    </w:p>
    <w:p>
      <w:pPr>
        <w:keepNext w:val="0"/>
        <w:keepLines w:val="0"/>
        <w:pageBreakBefore w:val="0"/>
        <w:kinsoku/>
        <w:wordWrap/>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第五十二条 </w:t>
      </w:r>
      <w:r>
        <w:rPr>
          <w:rFonts w:hint="eastAsia" w:asciiTheme="minorEastAsia" w:hAnsiTheme="minorEastAsia" w:eastAsiaTheme="minorEastAsia" w:cstheme="minorEastAsia"/>
          <w:b/>
          <w:sz w:val="24"/>
          <w:szCs w:val="24"/>
          <w:lang w:val="en-US" w:eastAsia="zh-CN"/>
        </w:rPr>
        <w:t xml:space="preserve"> </w:t>
      </w:r>
      <w:r>
        <w:rPr>
          <w:rFonts w:hint="eastAsia" w:asciiTheme="minorEastAsia" w:hAnsiTheme="minorEastAsia" w:eastAsiaTheme="minorEastAsia" w:cstheme="minorEastAsia"/>
          <w:sz w:val="24"/>
          <w:szCs w:val="24"/>
        </w:rPr>
        <w:t>本办法自2019年8月20日起施行，《工程造价咨询企业信用评价暂行办法》同时废止。</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附</w:t>
      </w:r>
      <w:r>
        <w:rPr>
          <w:rFonts w:hint="eastAsia" w:asciiTheme="minorEastAsia" w:hAnsiTheme="minorEastAsia" w:eastAsiaTheme="minorEastAsia" w:cstheme="minorEastAsia"/>
          <w:sz w:val="24"/>
          <w:szCs w:val="24"/>
          <w:lang w:val="en-US" w:eastAsia="zh-CN"/>
        </w:rPr>
        <w:t>表</w:t>
      </w: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工程造价咨询企业信用评价标准</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附</w:t>
      </w:r>
      <w:r>
        <w:rPr>
          <w:rFonts w:hint="eastAsia" w:asciiTheme="minorEastAsia" w:hAnsiTheme="minorEastAsia" w:eastAsiaTheme="minorEastAsia" w:cstheme="minorEastAsia"/>
          <w:sz w:val="24"/>
          <w:szCs w:val="24"/>
          <w:lang w:val="en-US" w:eastAsia="zh-CN"/>
        </w:rPr>
        <w:t>表</w:t>
      </w:r>
      <w:r>
        <w:rPr>
          <w:rFonts w:hint="eastAsia" w:asciiTheme="minorEastAsia" w:hAnsiTheme="minorEastAsia" w:eastAsiaTheme="minorEastAsia" w:cstheme="minorEastAsia"/>
          <w:color w:val="000000"/>
          <w:sz w:val="24"/>
          <w:szCs w:val="24"/>
        </w:rPr>
        <w:t>2</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工程造价咨询企业营业收入及造价咨询业务收入评分表</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附</w:t>
      </w:r>
      <w:r>
        <w:rPr>
          <w:rFonts w:hint="eastAsia" w:asciiTheme="minorEastAsia" w:hAnsiTheme="minorEastAsia" w:eastAsiaTheme="minorEastAsia" w:cstheme="minorEastAsia"/>
          <w:sz w:val="24"/>
          <w:szCs w:val="24"/>
          <w:lang w:val="en-US" w:eastAsia="zh-CN"/>
        </w:rPr>
        <w:t>表</w:t>
      </w:r>
      <w:r>
        <w:rPr>
          <w:rFonts w:hint="eastAsia" w:asciiTheme="minorEastAsia" w:hAnsiTheme="minorEastAsia" w:eastAsiaTheme="minorEastAsia" w:cstheme="minorEastAsia"/>
          <w:color w:val="000000"/>
          <w:sz w:val="24"/>
          <w:szCs w:val="24"/>
        </w:rPr>
        <w:t>3</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工程造价咨询企业良好行为加分表</w:t>
      </w:r>
    </w:p>
    <w:p>
      <w:pPr>
        <w:keepNext w:val="0"/>
        <w:keepLines w:val="0"/>
        <w:pageBreakBefore w:val="0"/>
        <w:kinsoku/>
        <w:wordWrap/>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附</w:t>
      </w:r>
      <w:r>
        <w:rPr>
          <w:rFonts w:hint="eastAsia" w:asciiTheme="minorEastAsia" w:hAnsiTheme="minorEastAsia" w:eastAsiaTheme="minorEastAsia" w:cstheme="minorEastAsia"/>
          <w:sz w:val="24"/>
          <w:szCs w:val="24"/>
          <w:lang w:val="en-US" w:eastAsia="zh-CN"/>
        </w:rPr>
        <w:t>表</w:t>
      </w:r>
      <w:r>
        <w:rPr>
          <w:rFonts w:hint="eastAsia" w:asciiTheme="minorEastAsia" w:hAnsiTheme="minorEastAsia" w:eastAsiaTheme="minorEastAsia" w:cstheme="minorEastAsia"/>
          <w:color w:val="000000"/>
          <w:sz w:val="24"/>
          <w:szCs w:val="24"/>
        </w:rPr>
        <w:t>4</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color w:val="000000"/>
          <w:sz w:val="24"/>
          <w:szCs w:val="24"/>
        </w:rPr>
        <w:t>工程造价咨询企业不良行为扣分表</w:t>
      </w:r>
      <w:r>
        <w:rPr>
          <w:rFonts w:hint="eastAsia" w:asciiTheme="minorEastAsia" w:hAnsiTheme="minorEastAsia" w:eastAsiaTheme="minorEastAsia" w:cstheme="minorEastAsia"/>
          <w:position w:val="-6"/>
          <w:sz w:val="24"/>
          <w:szCs w:val="24"/>
        </w:rPr>
        <w:t xml:space="preserve"> </w:t>
      </w:r>
    </w:p>
    <w:p>
      <w:pPr>
        <w:spacing w:before="0" w:line="240" w:lineRule="auto"/>
        <w:rPr>
          <w:rFonts w:hint="eastAsia" w:asciiTheme="minorEastAsia" w:hAnsiTheme="minorEastAsia" w:eastAsiaTheme="minorEastAsia" w:cstheme="minorEastAsia"/>
          <w:b/>
          <w:sz w:val="24"/>
          <w:szCs w:val="24"/>
        </w:rPr>
      </w:pPr>
    </w:p>
    <w:p>
      <w:pPr>
        <w:spacing w:before="0" w:line="240" w:lineRule="auto"/>
        <w:rPr>
          <w:rFonts w:hint="eastAsia" w:asciiTheme="minorEastAsia" w:hAnsiTheme="minorEastAsia" w:eastAsiaTheme="minorEastAsia" w:cstheme="minorEastAsia"/>
          <w:b/>
          <w:sz w:val="24"/>
          <w:szCs w:val="24"/>
        </w:rPr>
      </w:pPr>
    </w:p>
    <w:p>
      <w:pPr>
        <w:spacing w:before="0" w:line="240" w:lineRule="auto"/>
        <w:rPr>
          <w:rFonts w:hint="eastAsia" w:asciiTheme="minorEastAsia" w:hAnsiTheme="minorEastAsia" w:eastAsiaTheme="minorEastAsia" w:cstheme="minorEastAsia"/>
          <w:b/>
          <w:sz w:val="24"/>
          <w:szCs w:val="24"/>
        </w:rPr>
      </w:pPr>
    </w:p>
    <w:p>
      <w:pPr>
        <w:keepNext w:val="0"/>
        <w:keepLines w:val="0"/>
        <w:pageBreakBefore w:val="0"/>
        <w:widowControl w:val="0"/>
        <w:kinsoku/>
        <w:wordWrap/>
        <w:overflowPunct/>
        <w:topLinePunct w:val="0"/>
        <w:autoSpaceDE w:val="0"/>
        <w:autoSpaceDN w:val="0"/>
        <w:bidi w:val="0"/>
        <w:adjustRightInd/>
        <w:snapToGrid/>
        <w:spacing w:line="360" w:lineRule="auto"/>
        <w:jc w:val="righ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中国建设工程造价管理协会</w:t>
      </w:r>
    </w:p>
    <w:p>
      <w:pPr>
        <w:keepNext w:val="0"/>
        <w:keepLines w:val="0"/>
        <w:pageBreakBefore w:val="0"/>
        <w:widowControl w:val="0"/>
        <w:kinsoku/>
        <w:wordWrap/>
        <w:overflowPunct/>
        <w:topLinePunct w:val="0"/>
        <w:autoSpaceDE w:val="0"/>
        <w:autoSpaceDN w:val="0"/>
        <w:bidi w:val="0"/>
        <w:adjustRightInd/>
        <w:snapToGrid/>
        <w:spacing w:line="360" w:lineRule="auto"/>
        <w:jc w:val="right"/>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2019年8月20日</w:t>
      </w:r>
    </w:p>
    <w:p>
      <w:pPr>
        <w:jc w:val="right"/>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pStyle w:val="2"/>
        <w:widowControl/>
        <w:autoSpaceDE/>
        <w:autoSpaceDN/>
        <w:spacing w:before="100" w:beforeAutospacing="1" w:after="100" w:afterAutospacing="1" w:line="578" w:lineRule="exact"/>
        <w:ind w:left="0" w:right="0"/>
        <w:jc w:val="both"/>
        <w:outlineLvl w:val="1"/>
        <w:rPr>
          <w:rFonts w:hint="eastAsia" w:asciiTheme="minorEastAsia" w:hAnsiTheme="minorEastAsia" w:eastAsiaTheme="minorEastAsia" w:cstheme="minorEastAsia"/>
          <w:sz w:val="24"/>
          <w:szCs w:val="24"/>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附表1：                            工程造价咨询企业信用评价标准</w:t>
      </w:r>
    </w:p>
    <w:tbl>
      <w:tblPr>
        <w:tblStyle w:val="6"/>
        <w:tblW w:w="14113" w:type="dxa"/>
        <w:tblInd w:w="0" w:type="dxa"/>
        <w:shd w:val="clear" w:color="auto" w:fill="auto"/>
        <w:tblLayout w:type="fixed"/>
        <w:tblCellMar>
          <w:top w:w="0" w:type="dxa"/>
          <w:left w:w="0" w:type="dxa"/>
          <w:bottom w:w="0" w:type="dxa"/>
          <w:right w:w="0" w:type="dxa"/>
        </w:tblCellMar>
      </w:tblPr>
      <w:tblGrid>
        <w:gridCol w:w="27"/>
        <w:gridCol w:w="899"/>
        <w:gridCol w:w="106"/>
        <w:gridCol w:w="660"/>
        <w:gridCol w:w="225"/>
        <w:gridCol w:w="795"/>
        <w:gridCol w:w="2653"/>
        <w:gridCol w:w="182"/>
        <w:gridCol w:w="1080"/>
        <w:gridCol w:w="451"/>
        <w:gridCol w:w="344"/>
        <w:gridCol w:w="181"/>
        <w:gridCol w:w="299"/>
        <w:gridCol w:w="181"/>
        <w:gridCol w:w="239"/>
        <w:gridCol w:w="256"/>
        <w:gridCol w:w="194"/>
        <w:gridCol w:w="2686"/>
        <w:gridCol w:w="464"/>
        <w:gridCol w:w="376"/>
        <w:gridCol w:w="1815"/>
      </w:tblGrid>
      <w:tr>
        <w:tblPrEx>
          <w:tblCellMar>
            <w:top w:w="0" w:type="dxa"/>
            <w:left w:w="0" w:type="dxa"/>
            <w:bottom w:w="0" w:type="dxa"/>
            <w:right w:w="0" w:type="dxa"/>
          </w:tblCellMar>
        </w:tblPrEx>
        <w:trPr>
          <w:gridBefore w:val="1"/>
          <w:wBefore w:w="27" w:type="dxa"/>
          <w:trHeight w:val="816" w:hRule="atLeast"/>
        </w:trPr>
        <w:tc>
          <w:tcPr>
            <w:tcW w:w="100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885"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评价标准</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计算公式</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得分限额</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得分</w:t>
            </w:r>
          </w:p>
        </w:tc>
        <w:tc>
          <w:tcPr>
            <w:tcW w:w="4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扣分限额</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扣分</w:t>
            </w:r>
          </w:p>
        </w:tc>
        <w:tc>
          <w:tcPr>
            <w:tcW w:w="31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说明</w:t>
            </w:r>
          </w:p>
        </w:tc>
        <w:tc>
          <w:tcPr>
            <w:tcW w:w="2191"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数据来源</w:t>
            </w:r>
          </w:p>
        </w:tc>
      </w:tr>
      <w:tr>
        <w:tblPrEx>
          <w:tblCellMar>
            <w:top w:w="0" w:type="dxa"/>
            <w:left w:w="0" w:type="dxa"/>
            <w:bottom w:w="0" w:type="dxa"/>
            <w:right w:w="0" w:type="dxa"/>
          </w:tblCellMar>
        </w:tblPrEx>
        <w:trPr>
          <w:gridBefore w:val="1"/>
          <w:wBefore w:w="27" w:type="dxa"/>
          <w:trHeight w:val="470" w:hRule="atLeast"/>
        </w:trPr>
        <w:tc>
          <w:tcPr>
            <w:tcW w:w="1005"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numPr>
                <w:ilvl w:val="0"/>
                <w:numId w:val="1"/>
              </w:numPr>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基本</w:t>
            </w:r>
          </w:p>
          <w:p>
            <w:pPr>
              <w:keepNext w:val="0"/>
              <w:keepLines w:val="0"/>
              <w:widowControl/>
              <w:numPr>
                <w:ilvl w:val="0"/>
                <w:numId w:val="0"/>
              </w:numPr>
              <w:suppressLineNumbers w:val="0"/>
              <w:ind w:right="0" w:rightChars="0" w:firstLine="360" w:firstLineChars="20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情况</w:t>
            </w:r>
          </w:p>
        </w:tc>
        <w:tc>
          <w:tcPr>
            <w:tcW w:w="885"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人员结构</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技术负责人</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具有一级注册造价工程师职业资格</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Arial Narrow" w:hAnsi="Arial Narrow" w:eastAsia="Arial Narrow" w:cs="Arial Narrow"/>
                <w:i w:val="0"/>
                <w:color w:val="000000"/>
                <w:sz w:val="18"/>
                <w:szCs w:val="18"/>
                <w:u w:val="none"/>
              </w:rPr>
            </w:pP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1</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1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2191"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gridBefore w:val="1"/>
          <w:wBefore w:w="27" w:type="dxa"/>
          <w:trHeight w:val="1544" w:hRule="atLeast"/>
        </w:trPr>
        <w:tc>
          <w:tcPr>
            <w:tcW w:w="100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具有一级造价工程师以外的与造价相关的其它职业资格或工程类、经济类高级职称</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1</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1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与造价相关的其它职业资格是指咨询师、建造师、建筑师、监理工程师、规划师、勘察设计注册师(注册结构工程师、注册土木工程师、注册电气工程师等)、注册会计师、资产评估师、房地产估价师、职业律师等相关职业资格。</w:t>
            </w:r>
          </w:p>
        </w:tc>
        <w:tc>
          <w:tcPr>
            <w:tcW w:w="2191"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1.造价工程师管理系统。</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2.造价工程师管理系统没有的由企业自行申报。</w:t>
            </w:r>
          </w:p>
        </w:tc>
      </w:tr>
      <w:tr>
        <w:tblPrEx>
          <w:tblCellMar>
            <w:top w:w="0" w:type="dxa"/>
            <w:left w:w="0" w:type="dxa"/>
            <w:bottom w:w="0" w:type="dxa"/>
            <w:right w:w="0" w:type="dxa"/>
          </w:tblCellMar>
        </w:tblPrEx>
        <w:trPr>
          <w:gridBefore w:val="1"/>
          <w:wBefore w:w="27" w:type="dxa"/>
          <w:trHeight w:val="695" w:hRule="atLeast"/>
        </w:trPr>
        <w:tc>
          <w:tcPr>
            <w:tcW w:w="100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Style w:val="12"/>
                <w:sz w:val="18"/>
                <w:szCs w:val="18"/>
                <w:lang w:val="en-US" w:eastAsia="zh-CN" w:bidi="ar"/>
              </w:rPr>
              <w:t>1.1.2                    注册造价工程师</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每有1名一级注册造价工程师得1分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每有1名二级注册造价工程师得0.5分</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Style w:val="13"/>
                <w:sz w:val="18"/>
                <w:szCs w:val="18"/>
                <w:lang w:val="en-US" w:eastAsia="zh-CN" w:bidi="ar"/>
              </w:rPr>
              <w:t>1*X</w:t>
            </w:r>
            <w:r>
              <w:rPr>
                <w:rStyle w:val="14"/>
                <w:sz w:val="18"/>
                <w:szCs w:val="18"/>
                <w:lang w:val="en-US" w:eastAsia="zh-CN" w:bidi="ar"/>
              </w:rPr>
              <w:t>1</w:t>
            </w:r>
            <w:r>
              <w:rPr>
                <w:rStyle w:val="13"/>
                <w:sz w:val="18"/>
                <w:szCs w:val="18"/>
                <w:lang w:val="en-US" w:eastAsia="zh-CN" w:bidi="ar"/>
              </w:rPr>
              <w:t>+0.5*X</w:t>
            </w:r>
            <w:r>
              <w:rPr>
                <w:rStyle w:val="14"/>
                <w:sz w:val="18"/>
                <w:szCs w:val="18"/>
                <w:lang w:val="en-US" w:eastAsia="zh-CN" w:bidi="ar"/>
              </w:rPr>
              <w:t>2</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15</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1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Style w:val="12"/>
                <w:sz w:val="18"/>
                <w:szCs w:val="18"/>
                <w:lang w:val="en-US" w:eastAsia="zh-CN" w:bidi="ar"/>
              </w:rPr>
              <w:t>“X</w:t>
            </w:r>
            <w:r>
              <w:rPr>
                <w:rStyle w:val="15"/>
                <w:sz w:val="18"/>
                <w:szCs w:val="18"/>
                <w:lang w:val="en-US" w:eastAsia="zh-CN" w:bidi="ar"/>
              </w:rPr>
              <w:t>1</w:t>
            </w:r>
            <w:r>
              <w:rPr>
                <w:rStyle w:val="12"/>
                <w:sz w:val="18"/>
                <w:szCs w:val="18"/>
                <w:lang w:val="en-US" w:eastAsia="zh-CN" w:bidi="ar"/>
              </w:rPr>
              <w:t>”指注册在该企业的一级注册造价工程师的人数,“X</w:t>
            </w:r>
            <w:r>
              <w:rPr>
                <w:rStyle w:val="15"/>
                <w:sz w:val="18"/>
                <w:szCs w:val="18"/>
                <w:lang w:val="en-US" w:eastAsia="zh-CN" w:bidi="ar"/>
              </w:rPr>
              <w:t>2</w:t>
            </w:r>
            <w:r>
              <w:rPr>
                <w:rStyle w:val="12"/>
                <w:sz w:val="18"/>
                <w:szCs w:val="18"/>
                <w:lang w:val="en-US" w:eastAsia="zh-CN" w:bidi="ar"/>
              </w:rPr>
              <w:t>”指注册在该企业的二级注册造价工程师的人数。</w:t>
            </w:r>
          </w:p>
        </w:tc>
        <w:tc>
          <w:tcPr>
            <w:tcW w:w="2191"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造价工程师管理系统中自动获取。</w:t>
            </w:r>
          </w:p>
        </w:tc>
      </w:tr>
      <w:tr>
        <w:trPr>
          <w:gridBefore w:val="1"/>
          <w:wBefore w:w="27" w:type="dxa"/>
          <w:trHeight w:val="1180" w:hRule="atLeast"/>
        </w:trPr>
        <w:tc>
          <w:tcPr>
            <w:tcW w:w="100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职称结构 </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Style w:val="12"/>
                <w:sz w:val="18"/>
                <w:szCs w:val="18"/>
                <w:lang w:val="en-US" w:eastAsia="zh-CN" w:bidi="ar"/>
              </w:rPr>
              <w:t>每有1名高级（及以上）职称人员得0.4分</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0.4*X</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2</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1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“X”为高级（及以上）职称的人员数量。</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高级职称指高级工程师、高级经济师、高级会计师等与造价相关的职称。</w:t>
            </w:r>
          </w:p>
        </w:tc>
        <w:tc>
          <w:tcPr>
            <w:tcW w:w="2191"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从造价工程师管理系统、会员服务系统中自动导入，如导入数据与实际不符，由企业自行申报。</w:t>
            </w:r>
          </w:p>
        </w:tc>
      </w:tr>
      <w:tr>
        <w:tblPrEx>
          <w:tblCellMar>
            <w:top w:w="0" w:type="dxa"/>
            <w:left w:w="0" w:type="dxa"/>
            <w:bottom w:w="0" w:type="dxa"/>
            <w:right w:w="0" w:type="dxa"/>
          </w:tblCellMar>
        </w:tblPrEx>
        <w:trPr>
          <w:gridBefore w:val="1"/>
          <w:wBefore w:w="27" w:type="dxa"/>
          <w:trHeight w:val="710" w:hRule="atLeast"/>
        </w:trPr>
        <w:tc>
          <w:tcPr>
            <w:tcW w:w="100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5"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各类组织</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党组织</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党组织健全或党建活动正常</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3</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1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未建立党组织的，上一年度正常开展或参加党建活动的也可得分。</w:t>
            </w:r>
          </w:p>
        </w:tc>
        <w:tc>
          <w:tcPr>
            <w:tcW w:w="2191"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gridBefore w:val="1"/>
          <w:wBefore w:w="27" w:type="dxa"/>
          <w:trHeight w:val="740" w:hRule="atLeast"/>
        </w:trPr>
        <w:tc>
          <w:tcPr>
            <w:tcW w:w="100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其它组织</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有工会或妇联等组织，活动正常</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2</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1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未建立工会或妇联等组织的，上一年度正常开展相关活动的也可得分。</w:t>
            </w:r>
          </w:p>
        </w:tc>
        <w:tc>
          <w:tcPr>
            <w:tcW w:w="2191"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gridBefore w:val="1"/>
          <w:wBefore w:w="27" w:type="dxa"/>
          <w:trHeight w:val="702" w:hRule="atLeast"/>
        </w:trPr>
        <w:tc>
          <w:tcPr>
            <w:tcW w:w="100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个人会员</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企业有省级以上造价协会个人会员的，每1名得0.2分</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0.2*X</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2</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1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“X”为省级以上造价协会个人会员数量。</w:t>
            </w:r>
          </w:p>
        </w:tc>
        <w:tc>
          <w:tcPr>
            <w:tcW w:w="2191"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从会员服务系统中自动导入或企业自行填报，省级以上协会确认。</w:t>
            </w:r>
          </w:p>
        </w:tc>
      </w:tr>
      <w:tr>
        <w:tblPrEx>
          <w:tblCellMar>
            <w:top w:w="0" w:type="dxa"/>
            <w:left w:w="0" w:type="dxa"/>
            <w:bottom w:w="0" w:type="dxa"/>
            <w:right w:w="0" w:type="dxa"/>
          </w:tblCellMar>
        </w:tblPrEx>
        <w:trPr>
          <w:gridBefore w:val="1"/>
          <w:wBefore w:w="27" w:type="dxa"/>
          <w:trHeight w:val="702" w:hRule="atLeast"/>
        </w:trPr>
        <w:tc>
          <w:tcPr>
            <w:tcW w:w="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三级指标</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评价标准</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default" w:ascii="Arial Narrow" w:hAnsi="Arial Narrow" w:eastAsia="Arial Narrow" w:cs="Arial Narrow"/>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计算公式</w:t>
            </w:r>
          </w:p>
        </w:tc>
        <w:tc>
          <w:tcPr>
            <w:tcW w:w="7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default" w:ascii="Arial Narrow" w:hAnsi="Arial Narrow" w:eastAsia="Arial Narrow" w:cs="Arial Narrow"/>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得分限额</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b/>
                <w:i w:val="0"/>
                <w:color w:val="000000"/>
                <w:kern w:val="0"/>
                <w:sz w:val="18"/>
                <w:szCs w:val="18"/>
                <w:u w:val="none"/>
                <w:lang w:val="en-US" w:eastAsia="zh-CN" w:bidi="ar"/>
              </w:rPr>
              <w:t>得分</w:t>
            </w:r>
          </w:p>
        </w:tc>
        <w:tc>
          <w:tcPr>
            <w:tcW w:w="4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default" w:ascii="Arial Narrow" w:hAnsi="Arial Narrow" w:eastAsia="Arial Narrow" w:cs="Arial Narrow"/>
                <w:i w:val="0"/>
                <w:color w:val="000000"/>
                <w:sz w:val="18"/>
                <w:szCs w:val="18"/>
                <w:u w:val="none"/>
              </w:rPr>
            </w:pPr>
            <w:r>
              <w:rPr>
                <w:rFonts w:hint="eastAsia" w:ascii="宋体" w:hAnsi="宋体" w:eastAsia="宋体" w:cs="宋体"/>
                <w:b/>
                <w:i w:val="0"/>
                <w:color w:val="000000"/>
                <w:kern w:val="0"/>
                <w:sz w:val="18"/>
                <w:szCs w:val="18"/>
                <w:u w:val="none"/>
                <w:lang w:val="en-US" w:eastAsia="zh-CN" w:bidi="ar"/>
              </w:rPr>
              <w:t>扣分限额</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b/>
                <w:i w:val="0"/>
                <w:color w:val="000000"/>
                <w:kern w:val="0"/>
                <w:sz w:val="18"/>
                <w:szCs w:val="18"/>
                <w:u w:val="none"/>
                <w:lang w:val="en-US" w:eastAsia="zh-CN" w:bidi="ar"/>
              </w:rPr>
              <w:t>扣分</w:t>
            </w:r>
          </w:p>
        </w:tc>
        <w:tc>
          <w:tcPr>
            <w:tcW w:w="315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说明</w:t>
            </w:r>
          </w:p>
        </w:tc>
        <w:tc>
          <w:tcPr>
            <w:tcW w:w="2191"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 xml:space="preserve"> 数据来源</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Before w:val="1"/>
          <w:wBefore w:w="27" w:type="dxa"/>
          <w:trHeight w:val="768" w:hRule="atLeast"/>
        </w:trPr>
        <w:tc>
          <w:tcPr>
            <w:tcW w:w="899" w:type="dxa"/>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2.经营    管理</w:t>
            </w:r>
          </w:p>
        </w:tc>
        <w:tc>
          <w:tcPr>
            <w:tcW w:w="766" w:type="dxa"/>
            <w:gridSpan w:val="2"/>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2.1                     经营能力</w:t>
            </w:r>
          </w:p>
        </w:tc>
        <w:tc>
          <w:tcPr>
            <w:tcW w:w="1020"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Style w:val="16"/>
                <w:rFonts w:hint="eastAsia" w:asciiTheme="minorEastAsia" w:hAnsiTheme="minorEastAsia" w:eastAsiaTheme="minorEastAsia" w:cstheme="minorEastAsia"/>
                <w:sz w:val="18"/>
                <w:szCs w:val="18"/>
                <w:lang w:val="en-US" w:eastAsia="zh-CN" w:bidi="ar"/>
              </w:rPr>
              <w:t>2.1.1                       营业收入</w:t>
            </w:r>
          </w:p>
        </w:tc>
        <w:tc>
          <w:tcPr>
            <w:tcW w:w="2835" w:type="dxa"/>
            <w:gridSpan w:val="2"/>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按地区排名评分，详见附件2《工程造价咨询企业营业收入及造价咨询业务收入评分表》</w:t>
            </w:r>
          </w:p>
        </w:tc>
        <w:tc>
          <w:tcPr>
            <w:tcW w:w="108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0</w:t>
            </w:r>
            <w:r>
              <w:rPr>
                <w:rFonts w:hint="eastAsia" w:ascii="微软雅黑" w:hAnsi="微软雅黑" w:eastAsia="微软雅黑" w:cs="微软雅黑"/>
                <w:i w:val="0"/>
                <w:color w:val="000000"/>
                <w:kern w:val="0"/>
                <w:sz w:val="18"/>
                <w:szCs w:val="18"/>
                <w:u w:val="none"/>
                <w:lang w:val="en-US" w:eastAsia="zh-CN" w:bidi="ar"/>
              </w:rPr>
              <w:t>∽</w:t>
            </w:r>
            <w:r>
              <w:rPr>
                <w:rFonts w:hint="eastAsia" w:asciiTheme="minorEastAsia" w:hAnsiTheme="minorEastAsia" w:eastAsiaTheme="minorEastAsia" w:cstheme="minorEastAsia"/>
                <w:i w:val="0"/>
                <w:color w:val="000000"/>
                <w:kern w:val="0"/>
                <w:sz w:val="18"/>
                <w:szCs w:val="18"/>
                <w:u w:val="none"/>
                <w:lang w:val="en-US" w:eastAsia="zh-CN" w:bidi="ar"/>
              </w:rPr>
              <w:t>4</w:t>
            </w:r>
          </w:p>
        </w:tc>
        <w:tc>
          <w:tcPr>
            <w:tcW w:w="795"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4</w:t>
            </w:r>
          </w:p>
        </w:tc>
        <w:tc>
          <w:tcPr>
            <w:tcW w:w="48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42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45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3150" w:type="dxa"/>
            <w:gridSpan w:val="2"/>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1、营业收入=工程造价咨询业务收入+其它业务收入；</w:t>
            </w:r>
            <w:r>
              <w:rPr>
                <w:rFonts w:hint="eastAsia" w:asciiTheme="minorEastAsia" w:hAnsiTheme="minorEastAsia" w:eastAsiaTheme="minorEastAsia" w:cstheme="minorEastAsia"/>
                <w:i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color w:val="000000"/>
                <w:kern w:val="0"/>
                <w:sz w:val="18"/>
                <w:szCs w:val="18"/>
                <w:u w:val="none"/>
                <w:lang w:val="en-US" w:eastAsia="zh-CN" w:bidi="ar"/>
              </w:rPr>
              <w:t>2、其它业务收入=招标代理业务收入+项目管理业务收入+工程咨询业务收入；</w:t>
            </w:r>
            <w:r>
              <w:rPr>
                <w:rFonts w:hint="eastAsia" w:asciiTheme="minorEastAsia" w:hAnsiTheme="minorEastAsia" w:eastAsiaTheme="minorEastAsia" w:cstheme="minorEastAsia"/>
                <w:i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color w:val="000000"/>
                <w:kern w:val="0"/>
                <w:sz w:val="18"/>
                <w:szCs w:val="18"/>
                <w:u w:val="none"/>
                <w:lang w:val="en-US" w:eastAsia="zh-CN" w:bidi="ar"/>
              </w:rPr>
              <w:t>3、均采用上年度的年收入。</w:t>
            </w:r>
          </w:p>
        </w:tc>
        <w:tc>
          <w:tcPr>
            <w:tcW w:w="2191" w:type="dxa"/>
            <w:gridSpan w:val="2"/>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根据国家“工程造价咨询统计报表制度”由信用评价系统从“工程造价咨询统计报表系统”导入企业上年度相关数据。</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Before w:val="1"/>
          <w:wBefore w:w="27" w:type="dxa"/>
          <w:trHeight w:val="1102" w:hRule="atLeast"/>
        </w:trPr>
        <w:tc>
          <w:tcPr>
            <w:tcW w:w="899" w:type="dxa"/>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66" w:type="dxa"/>
            <w:gridSpan w:val="2"/>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1020"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2.1.2</w:t>
            </w:r>
            <w:r>
              <w:rPr>
                <w:rFonts w:hint="eastAsia" w:asciiTheme="minorEastAsia" w:hAnsiTheme="minorEastAsia" w:eastAsiaTheme="minorEastAsia" w:cstheme="minorEastAsia"/>
                <w:i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color w:val="000000"/>
                <w:kern w:val="0"/>
                <w:sz w:val="18"/>
                <w:szCs w:val="18"/>
                <w:u w:val="none"/>
                <w:lang w:val="en-US" w:eastAsia="zh-CN" w:bidi="ar"/>
              </w:rPr>
              <w:t>工程造价咨询业务收入</w:t>
            </w:r>
          </w:p>
        </w:tc>
        <w:tc>
          <w:tcPr>
            <w:tcW w:w="2835" w:type="dxa"/>
            <w:gridSpan w:val="2"/>
            <w:vMerge w:val="continue"/>
            <w:tcBorders>
              <w:tl2br w:val="nil"/>
              <w:tr2bl w:val="nil"/>
            </w:tcBorders>
            <w:shd w:val="clear" w:color="auto" w:fill="FFFFFF"/>
            <w:tcMar>
              <w:top w:w="15" w:type="dxa"/>
              <w:left w:w="15" w:type="dxa"/>
              <w:right w:w="15" w:type="dxa"/>
            </w:tcMar>
            <w:vAlign w:val="center"/>
          </w:tcPr>
          <w:p>
            <w:pPr>
              <w:jc w:val="left"/>
              <w:rPr>
                <w:rFonts w:hint="eastAsia" w:asciiTheme="minorEastAsia" w:hAnsiTheme="minorEastAsia" w:eastAsiaTheme="minorEastAsia" w:cstheme="minorEastAsia"/>
                <w:i w:val="0"/>
                <w:color w:val="000000"/>
                <w:sz w:val="18"/>
                <w:szCs w:val="18"/>
                <w:u w:val="none"/>
              </w:rPr>
            </w:pPr>
          </w:p>
        </w:tc>
        <w:tc>
          <w:tcPr>
            <w:tcW w:w="108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0</w:t>
            </w:r>
            <w:r>
              <w:rPr>
                <w:rFonts w:hint="eastAsia" w:ascii="微软雅黑" w:hAnsi="微软雅黑" w:eastAsia="微软雅黑" w:cs="微软雅黑"/>
                <w:i w:val="0"/>
                <w:color w:val="000000"/>
                <w:kern w:val="0"/>
                <w:sz w:val="18"/>
                <w:szCs w:val="18"/>
                <w:u w:val="none"/>
                <w:lang w:val="en-US" w:eastAsia="zh-CN" w:bidi="ar"/>
              </w:rPr>
              <w:t>∽</w:t>
            </w:r>
            <w:r>
              <w:rPr>
                <w:rFonts w:hint="eastAsia" w:asciiTheme="minorEastAsia" w:hAnsiTheme="minorEastAsia" w:eastAsiaTheme="minorEastAsia" w:cstheme="minorEastAsia"/>
                <w:i w:val="0"/>
                <w:color w:val="000000"/>
                <w:kern w:val="0"/>
                <w:sz w:val="18"/>
                <w:szCs w:val="18"/>
                <w:u w:val="none"/>
                <w:lang w:val="en-US" w:eastAsia="zh-CN" w:bidi="ar"/>
              </w:rPr>
              <w:t>10</w:t>
            </w:r>
          </w:p>
        </w:tc>
        <w:tc>
          <w:tcPr>
            <w:tcW w:w="795"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10</w:t>
            </w:r>
          </w:p>
        </w:tc>
        <w:tc>
          <w:tcPr>
            <w:tcW w:w="48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42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45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3150" w:type="dxa"/>
            <w:gridSpan w:val="2"/>
            <w:vMerge w:val="continue"/>
            <w:tcBorders>
              <w:tl2br w:val="nil"/>
              <w:tr2bl w:val="nil"/>
            </w:tcBorders>
            <w:shd w:val="clear" w:color="auto" w:fill="FFFFFF"/>
            <w:tcMar>
              <w:top w:w="15" w:type="dxa"/>
              <w:left w:w="15" w:type="dxa"/>
              <w:right w:w="15" w:type="dxa"/>
            </w:tcMar>
            <w:vAlign w:val="center"/>
          </w:tcPr>
          <w:p>
            <w:pPr>
              <w:jc w:val="left"/>
              <w:rPr>
                <w:rFonts w:hint="eastAsia" w:asciiTheme="minorEastAsia" w:hAnsiTheme="minorEastAsia" w:eastAsiaTheme="minorEastAsia" w:cstheme="minorEastAsia"/>
                <w:i w:val="0"/>
                <w:color w:val="000000"/>
                <w:sz w:val="18"/>
                <w:szCs w:val="18"/>
                <w:u w:val="none"/>
              </w:rPr>
            </w:pPr>
          </w:p>
        </w:tc>
        <w:tc>
          <w:tcPr>
            <w:tcW w:w="2191" w:type="dxa"/>
            <w:gridSpan w:val="2"/>
            <w:vMerge w:val="continue"/>
            <w:tcBorders>
              <w:tl2br w:val="nil"/>
              <w:tr2bl w:val="nil"/>
            </w:tcBorders>
            <w:shd w:val="clear" w:color="auto" w:fill="FFFFFF"/>
            <w:tcMar>
              <w:top w:w="15" w:type="dxa"/>
              <w:left w:w="15" w:type="dxa"/>
              <w:right w:w="15" w:type="dxa"/>
            </w:tcMar>
            <w:vAlign w:val="center"/>
          </w:tcPr>
          <w:p>
            <w:pPr>
              <w:jc w:val="left"/>
              <w:rPr>
                <w:rFonts w:hint="eastAsia" w:asciiTheme="minorEastAsia" w:hAnsiTheme="minorEastAsia" w:eastAsiaTheme="minorEastAsia" w:cstheme="minorEastAsia"/>
                <w:i w:val="0"/>
                <w:color w:val="000000"/>
                <w:sz w:val="18"/>
                <w:szCs w:val="18"/>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Before w:val="1"/>
          <w:wBefore w:w="27" w:type="dxa"/>
          <w:trHeight w:val="1080" w:hRule="atLeast"/>
        </w:trPr>
        <w:tc>
          <w:tcPr>
            <w:tcW w:w="899" w:type="dxa"/>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66"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2.1                     经营能力</w:t>
            </w:r>
          </w:p>
        </w:tc>
        <w:tc>
          <w:tcPr>
            <w:tcW w:w="1020"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2.1.3                          全员劳动生产率</w:t>
            </w:r>
          </w:p>
        </w:tc>
        <w:tc>
          <w:tcPr>
            <w:tcW w:w="2835"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企业全员劳动生产率每5万元得0.5分</w:t>
            </w:r>
          </w:p>
        </w:tc>
        <w:tc>
          <w:tcPr>
            <w:tcW w:w="108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0.5*X/5</w:t>
            </w:r>
          </w:p>
        </w:tc>
        <w:tc>
          <w:tcPr>
            <w:tcW w:w="795"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4</w:t>
            </w:r>
          </w:p>
        </w:tc>
        <w:tc>
          <w:tcPr>
            <w:tcW w:w="48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42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45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3150"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1、“X”指企业全员劳动生产率；</w:t>
            </w:r>
            <w:r>
              <w:rPr>
                <w:rFonts w:hint="eastAsia" w:asciiTheme="minorEastAsia" w:hAnsiTheme="minorEastAsia" w:eastAsiaTheme="minorEastAsia" w:cstheme="minorEastAsia"/>
                <w:i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color w:val="000000"/>
                <w:kern w:val="0"/>
                <w:sz w:val="18"/>
                <w:szCs w:val="18"/>
                <w:u w:val="none"/>
                <w:lang w:val="en-US" w:eastAsia="zh-CN" w:bidi="ar"/>
              </w:rPr>
              <w:t>2、全员劳动生产率=上年营业收入合计/企业员工总人数。</w:t>
            </w:r>
          </w:p>
        </w:tc>
        <w:tc>
          <w:tcPr>
            <w:tcW w:w="2191"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根据国家“工程造价咨询统计报表制度”由信用评价系统从“工程造价咨询统计报表系统”导入企业上年度相关数据自动计算。</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gridBefore w:val="1"/>
          <w:wBefore w:w="27" w:type="dxa"/>
          <w:trHeight w:val="1102" w:hRule="atLeast"/>
        </w:trPr>
        <w:tc>
          <w:tcPr>
            <w:tcW w:w="899" w:type="dxa"/>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66" w:type="dxa"/>
            <w:gridSpan w:val="2"/>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2.2                    管理能力</w:t>
            </w:r>
          </w:p>
        </w:tc>
        <w:tc>
          <w:tcPr>
            <w:tcW w:w="1020" w:type="dxa"/>
            <w:gridSpan w:val="2"/>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2.2.1                       质量管理体系</w:t>
            </w:r>
          </w:p>
        </w:tc>
        <w:tc>
          <w:tcPr>
            <w:tcW w:w="2835"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Style w:val="16"/>
                <w:rFonts w:hint="eastAsia" w:asciiTheme="minorEastAsia" w:hAnsiTheme="minorEastAsia" w:eastAsiaTheme="minorEastAsia" w:cstheme="minorEastAsia"/>
                <w:sz w:val="18"/>
                <w:szCs w:val="18"/>
                <w:lang w:val="en-US" w:eastAsia="zh-CN" w:bidi="ar"/>
              </w:rPr>
              <w:t>企业有职业标准指南或自行编制的咨询业务操作指导规程、范本(模板)或作业指导书，得0.5</w:t>
            </w:r>
            <w:r>
              <w:rPr>
                <w:rStyle w:val="17"/>
                <w:rFonts w:hint="eastAsia" w:asciiTheme="minorEastAsia" w:hAnsiTheme="minorEastAsia" w:eastAsiaTheme="minorEastAsia" w:cstheme="minorEastAsia"/>
                <w:sz w:val="18"/>
                <w:szCs w:val="18"/>
                <w:lang w:val="en-US" w:eastAsia="zh-CN" w:bidi="ar"/>
              </w:rPr>
              <w:t>~</w:t>
            </w:r>
            <w:r>
              <w:rPr>
                <w:rStyle w:val="16"/>
                <w:rFonts w:hint="eastAsia" w:asciiTheme="minorEastAsia" w:hAnsiTheme="minorEastAsia" w:eastAsiaTheme="minorEastAsia" w:cstheme="minorEastAsia"/>
                <w:sz w:val="18"/>
                <w:szCs w:val="18"/>
                <w:lang w:val="en-US" w:eastAsia="zh-CN" w:bidi="ar"/>
              </w:rPr>
              <w:t>3分</w:t>
            </w:r>
          </w:p>
        </w:tc>
        <w:tc>
          <w:tcPr>
            <w:tcW w:w="108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3</w:t>
            </w:r>
          </w:p>
        </w:tc>
        <w:tc>
          <w:tcPr>
            <w:tcW w:w="795"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3</w:t>
            </w:r>
          </w:p>
        </w:tc>
        <w:tc>
          <w:tcPr>
            <w:tcW w:w="48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420"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w:t>
            </w:r>
          </w:p>
        </w:tc>
        <w:tc>
          <w:tcPr>
            <w:tcW w:w="45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3150"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Style w:val="16"/>
                <w:rFonts w:hint="eastAsia" w:asciiTheme="minorEastAsia" w:hAnsiTheme="minorEastAsia" w:eastAsiaTheme="minorEastAsia" w:cstheme="minorEastAsia"/>
                <w:sz w:val="18"/>
                <w:szCs w:val="18"/>
                <w:lang w:val="en-US" w:eastAsia="zh-CN" w:bidi="ar"/>
              </w:rPr>
              <w:t>根据职业标准或指南内容完整、规范、指导作用的程度，加0.5</w:t>
            </w:r>
            <w:r>
              <w:rPr>
                <w:rStyle w:val="17"/>
                <w:rFonts w:hint="eastAsia" w:asciiTheme="minorEastAsia" w:hAnsiTheme="minorEastAsia" w:eastAsiaTheme="minorEastAsia" w:cstheme="minorEastAsia"/>
                <w:sz w:val="18"/>
                <w:szCs w:val="18"/>
                <w:lang w:val="en-US" w:eastAsia="zh-CN" w:bidi="ar"/>
              </w:rPr>
              <w:t>~</w:t>
            </w:r>
            <w:r>
              <w:rPr>
                <w:rStyle w:val="16"/>
                <w:rFonts w:hint="eastAsia" w:asciiTheme="minorEastAsia" w:hAnsiTheme="minorEastAsia" w:eastAsiaTheme="minorEastAsia" w:cstheme="minorEastAsia"/>
                <w:sz w:val="18"/>
                <w:szCs w:val="18"/>
                <w:lang w:val="en-US" w:eastAsia="zh-CN" w:bidi="ar"/>
              </w:rPr>
              <w:t>3分，没有的扣1分。</w:t>
            </w:r>
          </w:p>
        </w:tc>
        <w:tc>
          <w:tcPr>
            <w:tcW w:w="2191" w:type="dxa"/>
            <w:gridSpan w:val="2"/>
            <w:vMerge w:val="restart"/>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gridBefore w:val="1"/>
          <w:wBefore w:w="27" w:type="dxa"/>
          <w:trHeight w:val="1391" w:hRule="atLeast"/>
        </w:trPr>
        <w:tc>
          <w:tcPr>
            <w:tcW w:w="899" w:type="dxa"/>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66" w:type="dxa"/>
            <w:gridSpan w:val="2"/>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1020" w:type="dxa"/>
            <w:gridSpan w:val="2"/>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2835"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Style w:val="16"/>
                <w:rFonts w:hint="eastAsia" w:asciiTheme="minorEastAsia" w:hAnsiTheme="minorEastAsia" w:eastAsiaTheme="minorEastAsia" w:cstheme="minorEastAsia"/>
                <w:sz w:val="18"/>
                <w:szCs w:val="18"/>
                <w:lang w:val="en-US" w:eastAsia="zh-CN" w:bidi="ar"/>
              </w:rPr>
              <w:t>企业有完善的质量管理制度和可行的质量奖惩办法，得0.5</w:t>
            </w:r>
            <w:r>
              <w:rPr>
                <w:rStyle w:val="17"/>
                <w:rFonts w:hint="eastAsia" w:asciiTheme="minorEastAsia" w:hAnsiTheme="minorEastAsia" w:eastAsiaTheme="minorEastAsia" w:cstheme="minorEastAsia"/>
                <w:sz w:val="18"/>
                <w:szCs w:val="18"/>
                <w:lang w:val="en-US" w:eastAsia="zh-CN" w:bidi="ar"/>
              </w:rPr>
              <w:t>~</w:t>
            </w:r>
            <w:r>
              <w:rPr>
                <w:rStyle w:val="16"/>
                <w:rFonts w:hint="eastAsia" w:asciiTheme="minorEastAsia" w:hAnsiTheme="minorEastAsia" w:eastAsiaTheme="minorEastAsia" w:cstheme="minorEastAsia"/>
                <w:sz w:val="18"/>
                <w:szCs w:val="18"/>
                <w:lang w:val="en-US" w:eastAsia="zh-CN" w:bidi="ar"/>
              </w:rPr>
              <w:t>2分</w:t>
            </w:r>
            <w:r>
              <w:rPr>
                <w:rStyle w:val="16"/>
                <w:rFonts w:hint="eastAsia" w:asciiTheme="minorEastAsia" w:hAnsiTheme="minorEastAsia" w:eastAsiaTheme="minorEastAsia" w:cstheme="minorEastAsia"/>
                <w:sz w:val="18"/>
                <w:szCs w:val="18"/>
                <w:lang w:val="en-US" w:eastAsia="zh-CN" w:bidi="ar"/>
              </w:rPr>
              <w:br w:type="textWrapping"/>
            </w:r>
            <w:r>
              <w:rPr>
                <w:rStyle w:val="16"/>
                <w:rFonts w:hint="eastAsia" w:asciiTheme="minorEastAsia" w:hAnsiTheme="minorEastAsia" w:eastAsiaTheme="minorEastAsia" w:cstheme="minorEastAsia"/>
                <w:sz w:val="18"/>
                <w:szCs w:val="18"/>
                <w:lang w:val="en-US" w:eastAsia="zh-CN" w:bidi="ar"/>
              </w:rPr>
              <w:t>通过ISO质量管理体系认证，得1分</w:t>
            </w:r>
          </w:p>
        </w:tc>
        <w:tc>
          <w:tcPr>
            <w:tcW w:w="1080" w:type="dxa"/>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0</w:t>
            </w:r>
            <w:r>
              <w:rPr>
                <w:rFonts w:hint="eastAsia" w:ascii="微软雅黑" w:hAnsi="微软雅黑" w:eastAsia="微软雅黑" w:cs="微软雅黑"/>
                <w:i w:val="0"/>
                <w:color w:val="000000"/>
                <w:kern w:val="0"/>
                <w:sz w:val="18"/>
                <w:szCs w:val="18"/>
                <w:u w:val="none"/>
                <w:lang w:val="en-US" w:eastAsia="zh-CN" w:bidi="ar"/>
              </w:rPr>
              <w:t>∽</w:t>
            </w:r>
            <w:r>
              <w:rPr>
                <w:rFonts w:hint="eastAsia" w:asciiTheme="minorEastAsia" w:hAnsiTheme="minorEastAsia" w:eastAsiaTheme="minorEastAsia" w:cstheme="minorEastAsia"/>
                <w:i w:val="0"/>
                <w:color w:val="000000"/>
                <w:kern w:val="0"/>
                <w:sz w:val="18"/>
                <w:szCs w:val="18"/>
                <w:u w:val="none"/>
                <w:lang w:val="en-US" w:eastAsia="zh-CN" w:bidi="ar"/>
              </w:rPr>
              <w:t>3</w:t>
            </w:r>
          </w:p>
        </w:tc>
        <w:tc>
          <w:tcPr>
            <w:tcW w:w="795"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3</w:t>
            </w:r>
          </w:p>
        </w:tc>
        <w:tc>
          <w:tcPr>
            <w:tcW w:w="48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420"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w:t>
            </w:r>
          </w:p>
        </w:tc>
        <w:tc>
          <w:tcPr>
            <w:tcW w:w="45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3150"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Style w:val="16"/>
                <w:rFonts w:hint="eastAsia" w:asciiTheme="minorEastAsia" w:hAnsiTheme="minorEastAsia" w:eastAsiaTheme="minorEastAsia" w:cstheme="minorEastAsia"/>
                <w:sz w:val="18"/>
                <w:szCs w:val="18"/>
                <w:lang w:val="en-US" w:eastAsia="zh-CN" w:bidi="ar"/>
              </w:rPr>
              <w:t>1、根据质量管理制度和奖惩办法完整、规范、操作性程度，加0.5</w:t>
            </w:r>
            <w:r>
              <w:rPr>
                <w:rStyle w:val="17"/>
                <w:rFonts w:hint="eastAsia" w:asciiTheme="minorEastAsia" w:hAnsiTheme="minorEastAsia" w:eastAsiaTheme="minorEastAsia" w:cstheme="minorEastAsia"/>
                <w:sz w:val="18"/>
                <w:szCs w:val="18"/>
                <w:lang w:val="en-US" w:eastAsia="zh-CN" w:bidi="ar"/>
              </w:rPr>
              <w:t>~</w:t>
            </w:r>
            <w:r>
              <w:rPr>
                <w:rStyle w:val="16"/>
                <w:rFonts w:hint="eastAsia" w:asciiTheme="minorEastAsia" w:hAnsiTheme="minorEastAsia" w:eastAsiaTheme="minorEastAsia" w:cstheme="minorEastAsia"/>
                <w:sz w:val="18"/>
                <w:szCs w:val="18"/>
                <w:lang w:val="en-US" w:eastAsia="zh-CN" w:bidi="ar"/>
              </w:rPr>
              <w:t>2分，没有或不完善或操作性不强的扣0.5</w:t>
            </w:r>
            <w:r>
              <w:rPr>
                <w:rStyle w:val="17"/>
                <w:rFonts w:hint="eastAsia" w:asciiTheme="minorEastAsia" w:hAnsiTheme="minorEastAsia" w:eastAsiaTheme="minorEastAsia" w:cstheme="minorEastAsia"/>
                <w:sz w:val="18"/>
                <w:szCs w:val="18"/>
                <w:lang w:val="en-US" w:eastAsia="zh-CN" w:bidi="ar"/>
              </w:rPr>
              <w:t>~</w:t>
            </w:r>
            <w:r>
              <w:rPr>
                <w:rStyle w:val="16"/>
                <w:rFonts w:hint="eastAsia" w:asciiTheme="minorEastAsia" w:hAnsiTheme="minorEastAsia" w:eastAsiaTheme="minorEastAsia" w:cstheme="minorEastAsia"/>
                <w:sz w:val="18"/>
                <w:szCs w:val="18"/>
                <w:lang w:val="en-US" w:eastAsia="zh-CN" w:bidi="ar"/>
              </w:rPr>
              <w:t>1分；</w:t>
            </w:r>
            <w:r>
              <w:rPr>
                <w:rStyle w:val="16"/>
                <w:rFonts w:hint="eastAsia" w:asciiTheme="minorEastAsia" w:hAnsiTheme="minorEastAsia" w:eastAsiaTheme="minorEastAsia" w:cstheme="minorEastAsia"/>
                <w:sz w:val="18"/>
                <w:szCs w:val="18"/>
                <w:lang w:val="en-US" w:eastAsia="zh-CN" w:bidi="ar"/>
              </w:rPr>
              <w:br w:type="textWrapping"/>
            </w:r>
            <w:r>
              <w:rPr>
                <w:rStyle w:val="16"/>
                <w:rFonts w:hint="eastAsia" w:asciiTheme="minorEastAsia" w:hAnsiTheme="minorEastAsia" w:eastAsiaTheme="minorEastAsia" w:cstheme="minorEastAsia"/>
                <w:sz w:val="18"/>
                <w:szCs w:val="18"/>
                <w:lang w:val="en-US" w:eastAsia="zh-CN" w:bidi="ar"/>
              </w:rPr>
              <w:t>2、质量管理认证证书应在有效期内。</w:t>
            </w:r>
          </w:p>
        </w:tc>
        <w:tc>
          <w:tcPr>
            <w:tcW w:w="2191" w:type="dxa"/>
            <w:gridSpan w:val="2"/>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Before w:val="1"/>
          <w:wBefore w:w="27" w:type="dxa"/>
          <w:trHeight w:val="678" w:hRule="atLeast"/>
        </w:trPr>
        <w:tc>
          <w:tcPr>
            <w:tcW w:w="899" w:type="dxa"/>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66" w:type="dxa"/>
            <w:gridSpan w:val="2"/>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1020" w:type="dxa"/>
            <w:gridSpan w:val="2"/>
            <w:vMerge w:val="restart"/>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2.2.2                         造价咨询业务成果文件档案管理</w:t>
            </w:r>
          </w:p>
        </w:tc>
        <w:tc>
          <w:tcPr>
            <w:tcW w:w="2835"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有专用档案室和专职档案管理员，每项得1分</w:t>
            </w:r>
          </w:p>
        </w:tc>
        <w:tc>
          <w:tcPr>
            <w:tcW w:w="1080" w:type="dxa"/>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w:t>
            </w:r>
          </w:p>
        </w:tc>
        <w:tc>
          <w:tcPr>
            <w:tcW w:w="48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42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45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3150"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专用档案室照片、专职档案员聘任合同或聘任协议。</w:t>
            </w:r>
          </w:p>
        </w:tc>
        <w:tc>
          <w:tcPr>
            <w:tcW w:w="2191" w:type="dxa"/>
            <w:gridSpan w:val="2"/>
            <w:vMerge w:val="restart"/>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Before w:val="1"/>
          <w:wBefore w:w="27" w:type="dxa"/>
          <w:trHeight w:val="976" w:hRule="atLeast"/>
        </w:trPr>
        <w:tc>
          <w:tcPr>
            <w:tcW w:w="899" w:type="dxa"/>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66" w:type="dxa"/>
            <w:gridSpan w:val="2"/>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1020" w:type="dxa"/>
            <w:gridSpan w:val="2"/>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2835"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档案室中至少保存前五年完整的档案，得1分</w:t>
            </w:r>
            <w:r>
              <w:rPr>
                <w:rFonts w:hint="eastAsia" w:asciiTheme="minorEastAsia" w:hAnsiTheme="minorEastAsia" w:eastAsiaTheme="minorEastAsia" w:cstheme="minorEastAsia"/>
                <w:i w:val="0"/>
                <w:color w:val="000000"/>
                <w:kern w:val="0"/>
                <w:sz w:val="18"/>
                <w:szCs w:val="18"/>
                <w:u w:val="none"/>
                <w:lang w:val="en-US" w:eastAsia="zh-CN" w:bidi="ar"/>
              </w:rPr>
              <w:br w:type="textWrapping"/>
            </w:r>
            <w:r>
              <w:rPr>
                <w:rFonts w:hint="eastAsia" w:asciiTheme="minorEastAsia" w:hAnsiTheme="minorEastAsia" w:eastAsiaTheme="minorEastAsia" w:cstheme="minorEastAsia"/>
                <w:i w:val="0"/>
                <w:color w:val="000000"/>
                <w:kern w:val="0"/>
                <w:sz w:val="18"/>
                <w:szCs w:val="18"/>
                <w:u w:val="none"/>
                <w:lang w:val="en-US" w:eastAsia="zh-CN" w:bidi="ar"/>
              </w:rPr>
              <w:t>无档案台账扣1分，台账不完整，扣0.5分</w:t>
            </w:r>
          </w:p>
        </w:tc>
        <w:tc>
          <w:tcPr>
            <w:tcW w:w="1080" w:type="dxa"/>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w:t>
            </w:r>
          </w:p>
        </w:tc>
        <w:tc>
          <w:tcPr>
            <w:tcW w:w="48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420"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w:t>
            </w:r>
          </w:p>
        </w:tc>
        <w:tc>
          <w:tcPr>
            <w:tcW w:w="450" w:type="dxa"/>
            <w:gridSpan w:val="2"/>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3150" w:type="dxa"/>
            <w:gridSpan w:val="2"/>
            <w:tcBorders>
              <w:tl2br w:val="nil"/>
              <w:tr2bl w:val="nil"/>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咨询项目登记表、档案台账和档案三者比对。</w:t>
            </w:r>
          </w:p>
        </w:tc>
        <w:tc>
          <w:tcPr>
            <w:tcW w:w="2191" w:type="dxa"/>
            <w:gridSpan w:val="2"/>
            <w:vMerge w:val="continue"/>
            <w:tcBorders>
              <w:tl2br w:val="nil"/>
              <w:tr2bl w:val="nil"/>
            </w:tcBorders>
            <w:shd w:val="clear" w:color="auto" w:fill="FFFFFF"/>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r>
        <w:tblPrEx>
          <w:tblCellMar>
            <w:top w:w="0" w:type="dxa"/>
            <w:left w:w="0" w:type="dxa"/>
            <w:bottom w:w="0" w:type="dxa"/>
            <w:right w:w="0" w:type="dxa"/>
          </w:tblCellMar>
        </w:tblPrEx>
        <w:trPr>
          <w:trHeight w:val="630" w:hRule="atLeast"/>
        </w:trPr>
        <w:tc>
          <w:tcPr>
            <w:tcW w:w="926"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6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评价标准</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计算公式</w:t>
            </w:r>
          </w:p>
        </w:tc>
        <w:tc>
          <w:tcPr>
            <w:tcW w:w="45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得分限额</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得分</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扣分限额</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扣分</w:t>
            </w:r>
          </w:p>
        </w:tc>
        <w:tc>
          <w:tcPr>
            <w:tcW w:w="3720"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说明</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数据来源</w:t>
            </w:r>
          </w:p>
        </w:tc>
      </w:tr>
      <w:tr>
        <w:tblPrEx>
          <w:tblCellMar>
            <w:top w:w="0" w:type="dxa"/>
            <w:left w:w="0" w:type="dxa"/>
            <w:bottom w:w="0" w:type="dxa"/>
            <w:right w:w="0" w:type="dxa"/>
          </w:tblCellMar>
        </w:tblPrEx>
        <w:trPr>
          <w:trHeight w:val="1315" w:hRule="atLeast"/>
        </w:trPr>
        <w:tc>
          <w:tcPr>
            <w:tcW w:w="926"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2.经营    管理</w:t>
            </w:r>
          </w:p>
        </w:tc>
        <w:tc>
          <w:tcPr>
            <w:tcW w:w="766"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教育培训                       </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2.3.1                            业务培训等</w:t>
            </w:r>
          </w:p>
        </w:tc>
        <w:tc>
          <w:tcPr>
            <w:tcW w:w="26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企业员工参加业务培训的，每次得0.3分（不含注册造价工程师资格延续需要的继续教育）</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0.3*X</w:t>
            </w:r>
          </w:p>
        </w:tc>
        <w:tc>
          <w:tcPr>
            <w:tcW w:w="45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3</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720"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1、“X”为企业造价咨询从业人员上一年度参加工程造价相关业务培训的次数；</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2、可以是外部机构组织的，也可以是企业自行组织的培训。</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top"/>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27" w:hRule="atLeast"/>
        </w:trPr>
        <w:tc>
          <w:tcPr>
            <w:tcW w:w="92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廉洁教育 </w:t>
            </w:r>
          </w:p>
        </w:tc>
        <w:tc>
          <w:tcPr>
            <w:tcW w:w="26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对员工进行廉洁教育或组织参观廉政教育基地</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5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2</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720"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企业上一年度对员工进行廉洁教育或组织参观廉政教育基地</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top"/>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27" w:hRule="atLeast"/>
        </w:trPr>
        <w:tc>
          <w:tcPr>
            <w:tcW w:w="92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信息化</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2.4.1                  对外平台</w:t>
            </w:r>
          </w:p>
        </w:tc>
        <w:tc>
          <w:tcPr>
            <w:tcW w:w="26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企业自建网站或公众号</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5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2</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720"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网站及公众号应正常更新。</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top"/>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2367" w:hRule="atLeast"/>
        </w:trPr>
        <w:tc>
          <w:tcPr>
            <w:tcW w:w="92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信息化</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2.4.2                 办公自动化及企业业务管理系统</w:t>
            </w:r>
          </w:p>
        </w:tc>
        <w:tc>
          <w:tcPr>
            <w:tcW w:w="26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企业投用办公自动化系统，运行正常，得1分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具有咨询业务管理系统并使用正常，得1</w:t>
            </w:r>
            <w:r>
              <w:rPr>
                <w:rStyle w:val="18"/>
                <w:sz w:val="18"/>
                <w:szCs w:val="18"/>
                <w:lang w:val="en-US" w:eastAsia="zh-CN" w:bidi="ar"/>
              </w:rPr>
              <w:t>~</w:t>
            </w:r>
            <w:r>
              <w:rPr>
                <w:rFonts w:hint="eastAsia" w:ascii="宋体" w:hAnsi="宋体" w:eastAsia="宋体" w:cs="宋体"/>
                <w:i w:val="0"/>
                <w:color w:val="000000"/>
                <w:kern w:val="0"/>
                <w:sz w:val="18"/>
                <w:szCs w:val="18"/>
                <w:u w:val="none"/>
                <w:lang w:val="en-US" w:eastAsia="zh-CN" w:bidi="ar"/>
              </w:rPr>
              <w:t>3分</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0~4</w:t>
            </w:r>
          </w:p>
        </w:tc>
        <w:tc>
          <w:tcPr>
            <w:tcW w:w="45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4</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720"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after="200" w:afterAutospacing="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1、业务系统能实现基本业务流程、成果文件系统的集成的，得1分；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2、除实现1中基本功能外，还能够协助企业进行任务分配、绩效评价等等造价咨询业务管理的，得2分；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3、能够满足客户管理、合同管理、业务流程管理、档案管理、绩效统计、成本管控等多种业务流的集成，得3分。</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top"/>
          </w:tcPr>
          <w:p>
            <w:pPr>
              <w:jc w:val="left"/>
              <w:rPr>
                <w:rFonts w:hint="eastAsia" w:ascii="宋体" w:hAnsi="宋体" w:eastAsia="宋体" w:cs="宋体"/>
                <w:i w:val="0"/>
                <w:color w:val="000000"/>
                <w:sz w:val="18"/>
                <w:szCs w:val="18"/>
                <w:u w:val="none"/>
              </w:rPr>
            </w:pPr>
          </w:p>
        </w:tc>
      </w:tr>
      <w:tr>
        <w:trPr>
          <w:trHeight w:val="951" w:hRule="atLeast"/>
        </w:trPr>
        <w:tc>
          <w:tcPr>
            <w:tcW w:w="92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2.4.3                 已完工程数据库</w:t>
            </w:r>
          </w:p>
        </w:tc>
        <w:tc>
          <w:tcPr>
            <w:tcW w:w="26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企业已完工程数据库(指标库、材料价格库等)建立完善并投入应用，每项得1.5分</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1.5*X</w:t>
            </w:r>
          </w:p>
        </w:tc>
        <w:tc>
          <w:tcPr>
            <w:tcW w:w="45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3</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720"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1、“X”指指标库或材料价格库等数据库；</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2、已完项目已录入数据库系统中或有已完项目的数据统计指标。</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top"/>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2" w:hRule="atLeast"/>
        </w:trPr>
        <w:tc>
          <w:tcPr>
            <w:tcW w:w="92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                     文化建设与社会责任</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文化建设</w:t>
            </w:r>
          </w:p>
        </w:tc>
        <w:tc>
          <w:tcPr>
            <w:tcW w:w="26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企业积极举办或参与造价协会举办的精神文明、文化建设等活动，每次得0.2分</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0.2*X</w:t>
            </w:r>
          </w:p>
        </w:tc>
        <w:tc>
          <w:tcPr>
            <w:tcW w:w="45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1</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720"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“X”为举办或参加活动的次数。</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top"/>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863" w:hRule="atLeast"/>
        </w:trPr>
        <w:tc>
          <w:tcPr>
            <w:tcW w:w="92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企业纳税信用等级                       </w:t>
            </w:r>
          </w:p>
        </w:tc>
        <w:tc>
          <w:tcPr>
            <w:tcW w:w="26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企业纳税信用等级为A的得2分，为B的得1分</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5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2</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720"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正常纳税企业，税务机关每年4月会确定上一年度纳税评价结果。</w:t>
            </w:r>
          </w:p>
        </w:tc>
        <w:tc>
          <w:tcPr>
            <w:tcW w:w="18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top"/>
          </w:tcPr>
          <w:p>
            <w:pPr>
              <w:jc w:val="lef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840" w:hRule="atLeast"/>
        </w:trPr>
        <w:tc>
          <w:tcPr>
            <w:tcW w:w="926"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6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评价标准</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计算公式</w:t>
            </w:r>
          </w:p>
        </w:tc>
        <w:tc>
          <w:tcPr>
            <w:tcW w:w="45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得分限额</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得分</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扣分限额</w:t>
            </w: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扣分</w:t>
            </w:r>
          </w:p>
        </w:tc>
        <w:tc>
          <w:tcPr>
            <w:tcW w:w="28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说明</w:t>
            </w:r>
          </w:p>
        </w:tc>
        <w:tc>
          <w:tcPr>
            <w:tcW w:w="2655"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数据来源</w:t>
            </w:r>
          </w:p>
        </w:tc>
      </w:tr>
      <w:tr>
        <w:tblPrEx>
          <w:tblCellMar>
            <w:top w:w="0" w:type="dxa"/>
            <w:left w:w="0" w:type="dxa"/>
            <w:bottom w:w="0" w:type="dxa"/>
            <w:right w:w="0" w:type="dxa"/>
          </w:tblCellMar>
        </w:tblPrEx>
        <w:trPr>
          <w:trHeight w:val="936" w:hRule="atLeast"/>
        </w:trPr>
        <w:tc>
          <w:tcPr>
            <w:tcW w:w="926" w:type="dxa"/>
            <w:gridSpan w:val="2"/>
            <w:vMerge w:val="restart"/>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t>3.各地自主评分或自定义评分项</w:t>
            </w:r>
          </w:p>
          <w:p>
            <w:pPr>
              <w:jc w:val="center"/>
              <w:rPr>
                <w:rFonts w:hint="eastAsia" w:ascii="宋体" w:hAnsi="宋体" w:eastAsia="宋体" w:cs="宋体"/>
                <w:i w:val="0"/>
                <w:color w:val="000000" w:themeColor="text1"/>
                <w:sz w:val="18"/>
                <w:szCs w:val="18"/>
                <w:u w:val="none"/>
                <w14:textFill>
                  <w14:solidFill>
                    <w14:schemeClr w14:val="tx1"/>
                  </w14:solidFill>
                </w14:textFill>
              </w:rPr>
            </w:pPr>
          </w:p>
          <w:p>
            <w:pPr>
              <w:jc w:val="center"/>
              <w:rPr>
                <w:rFonts w:hint="eastAsia" w:ascii="宋体" w:hAnsi="宋体" w:eastAsia="宋体" w:cs="宋体"/>
                <w:i w:val="0"/>
                <w:color w:val="000000" w:themeColor="text1"/>
                <w:sz w:val="18"/>
                <w:szCs w:val="18"/>
                <w:u w:val="none"/>
                <w14:textFill>
                  <w14:solidFill>
                    <w14:schemeClr w14:val="tx1"/>
                  </w14:solidFill>
                </w14:textFill>
              </w:rPr>
            </w:pP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18"/>
                <w:szCs w:val="18"/>
                <w:u w:val="none"/>
                <w14:textFill>
                  <w14:solidFill>
                    <w14:schemeClr w14:val="tx1"/>
                  </w14:solidFill>
                </w14:textFill>
              </w:rPr>
            </w:pP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t>3.1</w:t>
            </w: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t>社会评价</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18"/>
                <w:szCs w:val="18"/>
                <w:u w:val="none"/>
                <w14:textFill>
                  <w14:solidFill>
                    <w14:schemeClr w14:val="tx1"/>
                  </w14:solidFill>
                </w14:textFill>
              </w:rPr>
            </w:pP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t>3.1.1</w:t>
            </w: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t>客户对企业的评价</w:t>
            </w:r>
          </w:p>
        </w:tc>
        <w:tc>
          <w:tcPr>
            <w:tcW w:w="26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themeColor="text1"/>
                <w:sz w:val="18"/>
                <w:szCs w:val="18"/>
                <w:u w:val="none"/>
                <w:lang w:val="en-US"/>
                <w14:textFill>
                  <w14:solidFill>
                    <w14:schemeClr w14:val="tx1"/>
                  </w14:solidFill>
                </w14:textFill>
              </w:rPr>
            </w:pP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t>各地根据本地管理要求，自行制定评价办法或参考相关附表（可在系统内下载）</w:t>
            </w:r>
            <w:r>
              <w:rPr>
                <w:rFonts w:hint="eastAsia" w:cs="宋体"/>
                <w:i w:val="0"/>
                <w:color w:val="000000" w:themeColor="text1"/>
                <w:kern w:val="0"/>
                <w:sz w:val="18"/>
                <w:szCs w:val="18"/>
                <w:u w:val="none"/>
                <w:lang w:val="en-US" w:eastAsia="zh-CN" w:bidi="ar"/>
                <w14:textFill>
                  <w14:solidFill>
                    <w14:schemeClr w14:val="tx1"/>
                  </w14:solidFill>
                </w14:textFill>
              </w:rPr>
              <w:t>（见附表1.3.1）</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000000" w:themeColor="text1"/>
                <w:sz w:val="18"/>
                <w:szCs w:val="18"/>
                <w:u w:val="none"/>
                <w14:textFill>
                  <w14:solidFill>
                    <w14:schemeClr w14:val="tx1"/>
                  </w14:solidFill>
                </w14:textFill>
              </w:rPr>
            </w:pPr>
          </w:p>
        </w:tc>
        <w:tc>
          <w:tcPr>
            <w:tcW w:w="451" w:type="dxa"/>
            <w:vMerge w:val="restart"/>
            <w:tcBorders>
              <w:top w:val="single" w:color="000000" w:sz="4" w:space="0"/>
              <w:left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themeColor="text1"/>
                <w:kern w:val="0"/>
                <w:sz w:val="18"/>
                <w:szCs w:val="18"/>
                <w:u w:val="none"/>
                <w:lang w:val="en-US" w:eastAsia="zh-CN" w:bidi="ar"/>
                <w14:textFill>
                  <w14:solidFill>
                    <w14:schemeClr w14:val="tx1"/>
                  </w14:solidFill>
                </w14:textFill>
              </w:rPr>
            </w:pPr>
            <w:r>
              <w:rPr>
                <w:rFonts w:hint="default" w:ascii="Arial Narrow" w:hAnsi="Arial Narrow" w:eastAsia="Arial Narrow" w:cs="Arial Narrow"/>
                <w:i w:val="0"/>
                <w:color w:val="000000" w:themeColor="text1"/>
                <w:kern w:val="0"/>
                <w:sz w:val="18"/>
                <w:szCs w:val="18"/>
                <w:u w:val="none"/>
                <w:lang w:val="en-US" w:eastAsia="zh-CN" w:bidi="ar"/>
                <w14:textFill>
                  <w14:solidFill>
                    <w14:schemeClr w14:val="tx1"/>
                  </w14:solidFill>
                </w14:textFill>
              </w:rPr>
              <w:t>20</w:t>
            </w:r>
          </w:p>
          <w:p>
            <w:pPr>
              <w:ind w:left="0" w:leftChars="0" w:right="0" w:rightChars="0"/>
              <w:jc w:val="center"/>
              <w:rPr>
                <w:rFonts w:hint="default" w:ascii="Arial Narrow" w:hAnsi="Arial Narrow" w:eastAsia="Arial Narrow" w:cs="Arial Narrow"/>
                <w:b w:val="0"/>
                <w:bCs w:val="0"/>
                <w:i w:val="0"/>
                <w:color w:val="000000" w:themeColor="text1"/>
                <w:sz w:val="18"/>
                <w:szCs w:val="18"/>
                <w:u w:val="none"/>
                <w14:textFill>
                  <w14:solidFill>
                    <w14:schemeClr w14:val="tx1"/>
                  </w14:solidFill>
                </w14:textFill>
              </w:rPr>
            </w:pP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000000" w:themeColor="text1"/>
                <w:sz w:val="18"/>
                <w:szCs w:val="18"/>
                <w:u w:val="none"/>
                <w:shd w:val="clear" w:color="auto" w:fill="auto"/>
                <w:lang w:eastAsia="zh-CN"/>
                <w14:textFill>
                  <w14:solidFill>
                    <w14:schemeClr w14:val="tx1"/>
                  </w14:solidFill>
                </w14:textFill>
              </w:rPr>
            </w:pPr>
            <w:r>
              <w:rPr>
                <w:rFonts w:hint="eastAsia" w:cs="宋体"/>
                <w:i w:val="0"/>
                <w:color w:val="000000" w:themeColor="text1"/>
                <w:sz w:val="18"/>
                <w:szCs w:val="18"/>
                <w:u w:val="none"/>
                <w:shd w:val="clear" w:color="auto" w:fill="auto"/>
                <w:lang w:val="en-US" w:eastAsia="zh-CN"/>
                <w14:textFill>
                  <w14:solidFill>
                    <w14:schemeClr w14:val="tx1"/>
                  </w14:solidFill>
                </w14:textFill>
              </w:rPr>
              <w:t>2</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default" w:ascii="Arial Narrow" w:hAnsi="Arial Narrow" w:eastAsia="Arial Narrow" w:cs="Arial Narrow"/>
                <w:i w:val="0"/>
                <w:color w:val="000000" w:themeColor="text1"/>
                <w:sz w:val="18"/>
                <w:szCs w:val="18"/>
                <w:u w:val="none"/>
                <w14:textFill>
                  <w14:solidFill>
                    <w14:schemeClr w14:val="tx1"/>
                  </w14:solidFill>
                </w14:textFill>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themeColor="text1"/>
                <w:sz w:val="18"/>
                <w:szCs w:val="18"/>
                <w:u w:val="none"/>
                <w14:textFill>
                  <w14:solidFill>
                    <w14:schemeClr w14:val="tx1"/>
                  </w14:solidFill>
                </w14:textFill>
              </w:rPr>
            </w:pPr>
          </w:p>
        </w:tc>
        <w:tc>
          <w:tcPr>
            <w:tcW w:w="28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themeColor="text1"/>
                <w:sz w:val="18"/>
                <w:szCs w:val="18"/>
                <w:u w:val="none"/>
                <w14:textFill>
                  <w14:solidFill>
                    <w14:schemeClr w14:val="tx1"/>
                  </w14:solidFill>
                </w14:textFill>
              </w:rPr>
            </w:pP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t>由各地(省、市、自治区)根据信用评价管理办法的规定，自行制定评价标准，可参考相关附件的评价办法。</w:t>
            </w:r>
          </w:p>
        </w:tc>
        <w:tc>
          <w:tcPr>
            <w:tcW w:w="2655"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themeColor="text1"/>
                <w:sz w:val="18"/>
                <w:szCs w:val="18"/>
                <w:u w:val="none"/>
                <w14:textFill>
                  <w14:solidFill>
                    <w14:schemeClr w14:val="tx1"/>
                  </w14:solidFill>
                </w14:textFill>
              </w:rPr>
            </w:pP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t>抽取三个1000万元以上项目（尽量满足两个国有资金投资项目，两个结算审核项目）进行客户评价调查。</w:t>
            </w:r>
          </w:p>
        </w:tc>
      </w:tr>
      <w:tr>
        <w:tblPrEx>
          <w:tblCellMar>
            <w:top w:w="0" w:type="dxa"/>
            <w:left w:w="0" w:type="dxa"/>
            <w:bottom w:w="0" w:type="dxa"/>
            <w:right w:w="0" w:type="dxa"/>
          </w:tblCellMar>
        </w:tblPrEx>
        <w:trPr>
          <w:trHeight w:val="951" w:hRule="atLeast"/>
        </w:trPr>
        <w:tc>
          <w:tcPr>
            <w:tcW w:w="926" w:type="dxa"/>
            <w:gridSpan w:val="2"/>
            <w:vMerge w:val="continue"/>
            <w:tcBorders>
              <w:top w:val="nil"/>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themeColor="text1"/>
                <w:sz w:val="18"/>
                <w:szCs w:val="18"/>
                <w:u w:val="none"/>
                <w14:textFill>
                  <w14:solidFill>
                    <w14:schemeClr w14:val="tx1"/>
                  </w14:solidFill>
                </w14:textFill>
              </w:rPr>
            </w:pPr>
          </w:p>
        </w:tc>
        <w:tc>
          <w:tcPr>
            <w:tcW w:w="766"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18"/>
                <w:szCs w:val="18"/>
                <w:u w:val="none"/>
                <w14:textFill>
                  <w14:solidFill>
                    <w14:schemeClr w14:val="tx1"/>
                  </w14:solidFill>
                </w14:textFill>
              </w:rPr>
            </w:pP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t>3.2</w:t>
            </w: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t>成果质量</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18"/>
                <w:szCs w:val="18"/>
                <w:u w:val="none"/>
                <w14:textFill>
                  <w14:solidFill>
                    <w14:schemeClr w14:val="tx1"/>
                  </w14:solidFill>
                </w14:textFill>
              </w:rPr>
            </w:pP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t>3.2.1</w:t>
            </w: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t>造价咨询业务流程管理</w:t>
            </w:r>
          </w:p>
        </w:tc>
        <w:tc>
          <w:tcPr>
            <w:tcW w:w="26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t>各地自行制定评价办法或参考相关附表（可在系统内下载）</w:t>
            </w:r>
          </w:p>
          <w:p>
            <w:pPr>
              <w:keepNext w:val="0"/>
              <w:keepLines w:val="0"/>
              <w:widowControl/>
              <w:suppressLineNumbers w:val="0"/>
              <w:jc w:val="left"/>
              <w:textAlignment w:val="center"/>
              <w:rPr>
                <w:rFonts w:hint="eastAsia" w:ascii="宋体" w:hAnsi="宋体" w:eastAsia="宋体" w:cs="宋体"/>
                <w:i w:val="0"/>
                <w:color w:val="000000" w:themeColor="text1"/>
                <w:sz w:val="18"/>
                <w:szCs w:val="18"/>
                <w:u w:val="none"/>
                <w14:textFill>
                  <w14:solidFill>
                    <w14:schemeClr w14:val="tx1"/>
                  </w14:solidFill>
                </w14:textFill>
              </w:rPr>
            </w:pPr>
            <w:r>
              <w:rPr>
                <w:rFonts w:hint="eastAsia" w:cs="宋体"/>
                <w:i w:val="0"/>
                <w:color w:val="000000" w:themeColor="text1"/>
                <w:kern w:val="0"/>
                <w:sz w:val="18"/>
                <w:szCs w:val="18"/>
                <w:u w:val="none"/>
                <w:lang w:val="en-US" w:eastAsia="zh-CN" w:bidi="ar"/>
                <w14:textFill>
                  <w14:solidFill>
                    <w14:schemeClr w14:val="tx1"/>
                  </w14:solidFill>
                </w14:textFill>
              </w:rPr>
              <w:t>（见附表1.3.2）</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000000" w:themeColor="text1"/>
                <w:sz w:val="18"/>
                <w:szCs w:val="18"/>
                <w:u w:val="none"/>
                <w14:textFill>
                  <w14:solidFill>
                    <w14:schemeClr w14:val="tx1"/>
                  </w14:solidFill>
                </w14:textFill>
              </w:rPr>
            </w:pPr>
          </w:p>
        </w:tc>
        <w:tc>
          <w:tcPr>
            <w:tcW w:w="451" w:type="dxa"/>
            <w:vMerge w:val="continue"/>
            <w:tcBorders>
              <w:left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themeColor="text1"/>
                <w:sz w:val="18"/>
                <w:szCs w:val="18"/>
                <w:u w:val="none"/>
                <w14:textFill>
                  <w14:solidFill>
                    <w14:schemeClr w14:val="tx1"/>
                  </w14:solidFill>
                </w14:textFill>
              </w:rPr>
            </w:pP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tabs>
                <w:tab w:val="left" w:pos="382"/>
              </w:tabs>
              <w:jc w:val="center"/>
              <w:rPr>
                <w:rFonts w:hint="eastAsia" w:ascii="宋体" w:hAnsi="宋体" w:eastAsia="宋体" w:cs="宋体"/>
                <w:i w:val="0"/>
                <w:color w:val="000000" w:themeColor="text1"/>
                <w:sz w:val="18"/>
                <w:szCs w:val="18"/>
                <w:u w:val="none"/>
                <w:shd w:val="clear" w:color="auto" w:fill="auto"/>
                <w:lang w:eastAsia="zh-CN"/>
                <w14:textFill>
                  <w14:solidFill>
                    <w14:schemeClr w14:val="tx1"/>
                  </w14:solidFill>
                </w14:textFill>
              </w:rPr>
            </w:pPr>
            <w:r>
              <w:rPr>
                <w:rFonts w:hint="eastAsia" w:cs="宋体"/>
                <w:i w:val="0"/>
                <w:color w:val="000000" w:themeColor="text1"/>
                <w:sz w:val="18"/>
                <w:szCs w:val="18"/>
                <w:u w:val="none"/>
                <w:shd w:val="clear" w:color="auto" w:fill="auto"/>
                <w:lang w:val="en-US" w:eastAsia="zh-CN"/>
                <w14:textFill>
                  <w14:solidFill>
                    <w14:schemeClr w14:val="tx1"/>
                  </w14:solidFill>
                </w14:textFill>
              </w:rPr>
              <w:t>2</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default" w:ascii="Arial Narrow" w:hAnsi="Arial Narrow" w:eastAsia="Arial Narrow" w:cs="Arial Narrow"/>
                <w:i w:val="0"/>
                <w:color w:val="000000" w:themeColor="text1"/>
                <w:sz w:val="18"/>
                <w:szCs w:val="18"/>
                <w:u w:val="none"/>
                <w14:textFill>
                  <w14:solidFill>
                    <w14:schemeClr w14:val="tx1"/>
                  </w14:solidFill>
                </w14:textFill>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themeColor="text1"/>
                <w:sz w:val="18"/>
                <w:szCs w:val="18"/>
                <w:u w:val="none"/>
                <w14:textFill>
                  <w14:solidFill>
                    <w14:schemeClr w14:val="tx1"/>
                  </w14:solidFill>
                </w14:textFill>
              </w:rPr>
            </w:pPr>
          </w:p>
        </w:tc>
        <w:tc>
          <w:tcPr>
            <w:tcW w:w="28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themeColor="text1"/>
                <w:sz w:val="18"/>
                <w:szCs w:val="18"/>
                <w:u w:val="none"/>
                <w14:textFill>
                  <w14:solidFill>
                    <w14:schemeClr w14:val="tx1"/>
                  </w14:solidFill>
                </w14:textFill>
              </w:rPr>
            </w:pP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t>由各地(省、市、自治区)根据信用评价管理办法的规定，自行制定评价标准，可参考相关附件的评价办法，相关附件可在系统内下载。</w:t>
            </w:r>
          </w:p>
        </w:tc>
        <w:tc>
          <w:tcPr>
            <w:tcW w:w="2655"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themeColor="text1"/>
                <w:sz w:val="18"/>
                <w:szCs w:val="18"/>
                <w:u w:val="none"/>
                <w14:textFill>
                  <w14:solidFill>
                    <w14:schemeClr w14:val="tx1"/>
                  </w14:solidFill>
                </w14:textFill>
              </w:rPr>
            </w:pP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t>同上。</w:t>
            </w:r>
          </w:p>
        </w:tc>
      </w:tr>
      <w:tr>
        <w:tblPrEx>
          <w:tblCellMar>
            <w:top w:w="0" w:type="dxa"/>
            <w:left w:w="0" w:type="dxa"/>
            <w:bottom w:w="0" w:type="dxa"/>
            <w:right w:w="0" w:type="dxa"/>
          </w:tblCellMar>
        </w:tblPrEx>
        <w:trPr>
          <w:trHeight w:val="516" w:hRule="atLeast"/>
        </w:trPr>
        <w:tc>
          <w:tcPr>
            <w:tcW w:w="926" w:type="dxa"/>
            <w:gridSpan w:val="2"/>
            <w:vMerge w:val="continue"/>
            <w:tcBorders>
              <w:top w:val="nil"/>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themeColor="text1"/>
                <w:sz w:val="18"/>
                <w:szCs w:val="18"/>
                <w:u w:val="none"/>
                <w14:textFill>
                  <w14:solidFill>
                    <w14:schemeClr w14:val="tx1"/>
                  </w14:solidFill>
                </w14:textFill>
              </w:rPr>
            </w:pPr>
          </w:p>
        </w:tc>
        <w:tc>
          <w:tcPr>
            <w:tcW w:w="76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themeColor="text1"/>
                <w:sz w:val="18"/>
                <w:szCs w:val="18"/>
                <w:u w:val="none"/>
                <w14:textFill>
                  <w14:solidFill>
                    <w14:schemeClr w14:val="tx1"/>
                  </w14:solidFill>
                </w14:textFill>
              </w:rPr>
            </w:pP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18"/>
                <w:szCs w:val="18"/>
                <w:u w:val="none"/>
                <w14:textFill>
                  <w14:solidFill>
                    <w14:schemeClr w14:val="tx1"/>
                  </w14:solidFill>
                </w14:textFill>
              </w:rPr>
            </w:pP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t>3.2.2</w:t>
            </w: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t>造价咨询业务成果质量情况</w:t>
            </w:r>
          </w:p>
        </w:tc>
        <w:tc>
          <w:tcPr>
            <w:tcW w:w="26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t>各地自行制定评价办法或参考相关附表（可在系统内下载）</w:t>
            </w:r>
          </w:p>
          <w:p>
            <w:pPr>
              <w:keepNext w:val="0"/>
              <w:keepLines w:val="0"/>
              <w:widowControl/>
              <w:suppressLineNumbers w:val="0"/>
              <w:jc w:val="left"/>
              <w:textAlignment w:val="cente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pPr>
            <w:r>
              <w:rPr>
                <w:rFonts w:hint="eastAsia" w:cs="宋体"/>
                <w:i w:val="0"/>
                <w:color w:val="000000" w:themeColor="text1"/>
                <w:kern w:val="0"/>
                <w:sz w:val="18"/>
                <w:szCs w:val="18"/>
                <w:u w:val="none"/>
                <w:lang w:val="en-US" w:eastAsia="zh-CN" w:bidi="ar"/>
                <w14:textFill>
                  <w14:solidFill>
                    <w14:schemeClr w14:val="tx1"/>
                  </w14:solidFill>
                </w14:textFill>
              </w:rPr>
              <w:t>（见附表1.3.3）</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000000" w:themeColor="text1"/>
                <w:sz w:val="18"/>
                <w:szCs w:val="18"/>
                <w:u w:val="none"/>
                <w14:textFill>
                  <w14:solidFill>
                    <w14:schemeClr w14:val="tx1"/>
                  </w14:solidFill>
                </w14:textFill>
              </w:rPr>
            </w:pPr>
          </w:p>
        </w:tc>
        <w:tc>
          <w:tcPr>
            <w:tcW w:w="451" w:type="dxa"/>
            <w:vMerge w:val="continue"/>
            <w:tcBorders>
              <w:left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themeColor="text1"/>
                <w:sz w:val="18"/>
                <w:szCs w:val="18"/>
                <w:u w:val="none"/>
                <w14:textFill>
                  <w14:solidFill>
                    <w14:schemeClr w14:val="tx1"/>
                  </w14:solidFill>
                </w14:textFill>
              </w:rPr>
            </w:pP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宋体" w:hAnsi="宋体" w:eastAsia="宋体" w:cs="宋体"/>
                <w:i w:val="0"/>
                <w:color w:val="000000" w:themeColor="text1"/>
                <w:sz w:val="18"/>
                <w:szCs w:val="18"/>
                <w:u w:val="none"/>
                <w:shd w:val="clear" w:color="auto" w:fill="auto"/>
                <w:lang w:eastAsia="zh-CN"/>
                <w14:textFill>
                  <w14:solidFill>
                    <w14:schemeClr w14:val="tx1"/>
                  </w14:solidFill>
                </w14:textFill>
              </w:rPr>
            </w:pPr>
            <w:r>
              <w:rPr>
                <w:rFonts w:hint="eastAsia" w:cs="宋体"/>
                <w:i w:val="0"/>
                <w:color w:val="000000" w:themeColor="text1"/>
                <w:sz w:val="18"/>
                <w:szCs w:val="18"/>
                <w:u w:val="none"/>
                <w:shd w:val="clear" w:color="auto" w:fill="auto"/>
                <w:lang w:val="en-US" w:eastAsia="zh-CN"/>
                <w14:textFill>
                  <w14:solidFill>
                    <w14:schemeClr w14:val="tx1"/>
                  </w14:solidFill>
                </w14:textFill>
              </w:rPr>
              <w:t>3</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default" w:ascii="Arial Narrow" w:hAnsi="Arial Narrow" w:eastAsia="Arial Narrow" w:cs="Arial Narrow"/>
                <w:i w:val="0"/>
                <w:color w:val="000000" w:themeColor="text1"/>
                <w:sz w:val="18"/>
                <w:szCs w:val="18"/>
                <w:u w:val="none"/>
                <w14:textFill>
                  <w14:solidFill>
                    <w14:schemeClr w14:val="tx1"/>
                  </w14:solidFill>
                </w14:textFill>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themeColor="text1"/>
                <w:sz w:val="18"/>
                <w:szCs w:val="18"/>
                <w:u w:val="none"/>
                <w14:textFill>
                  <w14:solidFill>
                    <w14:schemeClr w14:val="tx1"/>
                  </w14:solidFill>
                </w14:textFill>
              </w:rPr>
            </w:pPr>
          </w:p>
        </w:tc>
        <w:tc>
          <w:tcPr>
            <w:tcW w:w="28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themeColor="text1"/>
                <w:sz w:val="18"/>
                <w:szCs w:val="18"/>
                <w:u w:val="none"/>
                <w14:textFill>
                  <w14:solidFill>
                    <w14:schemeClr w14:val="tx1"/>
                  </w14:solidFill>
                </w14:textFill>
              </w:rPr>
            </w:pP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t>由各地(省、市、自治区)根据信用评价管理办法的规定，自行制定评价标准，可参考相关附件的评价办法，相关附件可在系统内下载。</w:t>
            </w:r>
          </w:p>
        </w:tc>
        <w:tc>
          <w:tcPr>
            <w:tcW w:w="2655"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themeColor="text1"/>
                <w:sz w:val="18"/>
                <w:szCs w:val="18"/>
                <w:u w:val="none"/>
                <w14:textFill>
                  <w14:solidFill>
                    <w14:schemeClr w14:val="tx1"/>
                  </w14:solidFill>
                </w14:textFill>
              </w:rPr>
            </w:pP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t>同上。</w:t>
            </w:r>
          </w:p>
        </w:tc>
      </w:tr>
      <w:tr>
        <w:tblPrEx>
          <w:tblCellMar>
            <w:top w:w="0" w:type="dxa"/>
            <w:left w:w="0" w:type="dxa"/>
            <w:bottom w:w="0" w:type="dxa"/>
            <w:right w:w="0" w:type="dxa"/>
          </w:tblCellMar>
        </w:tblPrEx>
        <w:trPr>
          <w:trHeight w:val="512" w:hRule="atLeast"/>
        </w:trPr>
        <w:tc>
          <w:tcPr>
            <w:tcW w:w="926" w:type="dxa"/>
            <w:gridSpan w:val="2"/>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themeColor="text1"/>
                <w:sz w:val="18"/>
                <w:szCs w:val="18"/>
                <w:u w:val="none"/>
                <w14:textFill>
                  <w14:solidFill>
                    <w14:schemeClr w14:val="tx1"/>
                  </w14:solidFill>
                </w14:textFill>
              </w:rPr>
            </w:pPr>
          </w:p>
        </w:tc>
        <w:tc>
          <w:tcPr>
            <w:tcW w:w="766"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18"/>
                <w:szCs w:val="18"/>
                <w:u w:val="none"/>
                <w14:textFill>
                  <w14:solidFill>
                    <w14:schemeClr w14:val="tx1"/>
                  </w14:solidFill>
                </w14:textFill>
              </w:rPr>
            </w:pP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t>3.3</w:t>
            </w: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t>其它</w:t>
            </w:r>
          </w:p>
        </w:tc>
        <w:tc>
          <w:tcPr>
            <w:tcW w:w="1020"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sz w:val="18"/>
                <w:szCs w:val="18"/>
                <w:u w:val="none"/>
                <w14:textFill>
                  <w14:solidFill>
                    <w14:schemeClr w14:val="tx1"/>
                  </w14:solidFill>
                </w14:textFill>
              </w:rPr>
            </w:pP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t>3.3.1</w:t>
            </w: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t>省自定义</w:t>
            </w:r>
          </w:p>
        </w:tc>
        <w:tc>
          <w:tcPr>
            <w:tcW w:w="26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left"/>
              <w:textAlignment w:val="center"/>
              <w:rPr>
                <w:rFonts w:hint="eastAsia" w:ascii="宋体" w:hAnsi="宋体" w:eastAsia="宋体" w:cs="宋体"/>
                <w:b w:val="0"/>
                <w:bCs w:val="0"/>
                <w:i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b w:val="0"/>
                <w:bCs w:val="0"/>
                <w:i w:val="0"/>
                <w:color w:val="000000" w:themeColor="text1"/>
                <w:kern w:val="0"/>
                <w:sz w:val="18"/>
                <w:szCs w:val="18"/>
                <w:u w:val="none"/>
                <w:lang w:val="en-US" w:eastAsia="zh-CN" w:bidi="ar"/>
                <w14:textFill>
                  <w14:solidFill>
                    <w14:schemeClr w14:val="tx1"/>
                  </w14:solidFill>
                </w14:textFill>
              </w:rPr>
              <w:t>企业及时缴纳</w:t>
            </w:r>
            <w:r>
              <w:rPr>
                <w:rFonts w:hint="eastAsia" w:cs="宋体"/>
                <w:b w:val="0"/>
                <w:bCs w:val="0"/>
                <w:i w:val="0"/>
                <w:color w:val="000000" w:themeColor="text1"/>
                <w:kern w:val="0"/>
                <w:sz w:val="18"/>
                <w:szCs w:val="18"/>
                <w:u w:val="none"/>
                <w:lang w:val="en-US" w:eastAsia="zh-CN" w:bidi="ar"/>
                <w14:textFill>
                  <w14:solidFill>
                    <w14:schemeClr w14:val="tx1"/>
                  </w14:solidFill>
                </w14:textFill>
              </w:rPr>
              <w:t>各市</w:t>
            </w:r>
            <w:r>
              <w:rPr>
                <w:rFonts w:hint="eastAsia" w:ascii="宋体" w:hAnsi="宋体" w:eastAsia="宋体" w:cs="宋体"/>
                <w:b w:val="0"/>
                <w:bCs w:val="0"/>
                <w:i w:val="0"/>
                <w:color w:val="000000" w:themeColor="text1"/>
                <w:kern w:val="0"/>
                <w:sz w:val="18"/>
                <w:szCs w:val="18"/>
                <w:u w:val="none"/>
                <w:lang w:val="en-US" w:eastAsia="zh-CN" w:bidi="ar"/>
                <w14:textFill>
                  <w14:solidFill>
                    <w14:schemeClr w14:val="tx1"/>
                  </w14:solidFill>
                </w14:textFill>
              </w:rPr>
              <w:t>协会会费</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ind w:left="0" w:leftChars="0" w:right="0" w:rightChars="0"/>
              <w:rPr>
                <w:rFonts w:hint="eastAsia" w:ascii="宋体" w:hAnsi="宋体" w:eastAsia="宋体" w:cs="宋体"/>
                <w:b w:val="0"/>
                <w:bCs w:val="0"/>
                <w:i w:val="0"/>
                <w:color w:val="000000" w:themeColor="text1"/>
                <w:sz w:val="18"/>
                <w:szCs w:val="18"/>
                <w:u w:val="none"/>
                <w14:textFill>
                  <w14:solidFill>
                    <w14:schemeClr w14:val="tx1"/>
                  </w14:solidFill>
                </w14:textFill>
              </w:rPr>
            </w:pPr>
          </w:p>
        </w:tc>
        <w:tc>
          <w:tcPr>
            <w:tcW w:w="451" w:type="dxa"/>
            <w:vMerge w:val="continue"/>
            <w:tcBorders>
              <w:left w:val="single" w:color="000000" w:sz="4" w:space="0"/>
              <w:right w:val="single" w:color="000000" w:sz="4" w:space="0"/>
            </w:tcBorders>
            <w:shd w:val="clear" w:color="auto" w:fill="FFFFFF"/>
            <w:tcMar>
              <w:top w:w="15" w:type="dxa"/>
              <w:left w:w="15" w:type="dxa"/>
              <w:right w:w="15" w:type="dxa"/>
            </w:tcMar>
            <w:vAlign w:val="center"/>
          </w:tcPr>
          <w:p>
            <w:pPr>
              <w:ind w:left="0" w:leftChars="0" w:right="0" w:rightChars="0"/>
              <w:jc w:val="center"/>
              <w:rPr>
                <w:rFonts w:hint="default" w:ascii="Arial Narrow" w:hAnsi="Arial Narrow" w:eastAsia="Arial Narrow" w:cs="Arial Narrow"/>
                <w:b w:val="0"/>
                <w:bCs w:val="0"/>
                <w:i w:val="0"/>
                <w:color w:val="000000" w:themeColor="text1"/>
                <w:sz w:val="18"/>
                <w:szCs w:val="18"/>
                <w:u w:val="none"/>
                <w14:textFill>
                  <w14:solidFill>
                    <w14:schemeClr w14:val="tx1"/>
                  </w14:solidFill>
                </w14:textFill>
              </w:rPr>
            </w:pP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ind w:left="0" w:leftChars="0" w:right="0" w:rightChars="0"/>
              <w:jc w:val="center"/>
              <w:rPr>
                <w:rFonts w:hint="eastAsia" w:ascii="宋体" w:hAnsi="宋体" w:eastAsia="宋体" w:cs="宋体"/>
                <w:b w:val="0"/>
                <w:bCs w:val="0"/>
                <w:i w:val="0"/>
                <w:color w:val="000000" w:themeColor="text1"/>
                <w:sz w:val="18"/>
                <w:szCs w:val="18"/>
                <w:u w:val="none"/>
                <w:lang w:val="en-US" w:eastAsia="zh-CN"/>
                <w14:textFill>
                  <w14:solidFill>
                    <w14:schemeClr w14:val="tx1"/>
                  </w14:solidFill>
                </w14:textFill>
              </w:rPr>
            </w:pPr>
            <w:r>
              <w:rPr>
                <w:rFonts w:hint="eastAsia" w:cs="宋体"/>
                <w:b w:val="0"/>
                <w:bCs w:val="0"/>
                <w:i w:val="0"/>
                <w:color w:val="000000" w:themeColor="text1"/>
                <w:sz w:val="18"/>
                <w:szCs w:val="18"/>
                <w:u w:val="none"/>
                <w:lang w:val="en-US" w:eastAsia="zh-CN"/>
                <w14:textFill>
                  <w14:solidFill>
                    <w14:schemeClr w14:val="tx1"/>
                  </w14:solidFill>
                </w14:textFill>
              </w:rPr>
              <w:t>1</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ind w:left="0" w:leftChars="0" w:right="0" w:rightChars="0"/>
              <w:jc w:val="center"/>
              <w:rPr>
                <w:rFonts w:hint="default" w:ascii="Arial Narrow" w:hAnsi="Arial Narrow" w:eastAsia="Arial Narrow" w:cs="Arial Narrow"/>
                <w:b w:val="0"/>
                <w:bCs w:val="0"/>
                <w:i w:val="0"/>
                <w:color w:val="000000" w:themeColor="text1"/>
                <w:sz w:val="18"/>
                <w:szCs w:val="18"/>
                <w:u w:val="none"/>
                <w14:textFill>
                  <w14:solidFill>
                    <w14:schemeClr w14:val="tx1"/>
                  </w14:solidFill>
                </w14:textFill>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ind w:left="0" w:leftChars="0" w:right="0" w:rightChars="0"/>
              <w:rPr>
                <w:rFonts w:hint="eastAsia" w:ascii="宋体" w:hAnsi="宋体" w:eastAsia="宋体" w:cs="宋体"/>
                <w:b w:val="0"/>
                <w:bCs w:val="0"/>
                <w:i w:val="0"/>
                <w:color w:val="000000" w:themeColor="text1"/>
                <w:sz w:val="18"/>
                <w:szCs w:val="18"/>
                <w:u w:val="none"/>
                <w14:textFill>
                  <w14:solidFill>
                    <w14:schemeClr w14:val="tx1"/>
                  </w14:solidFill>
                </w14:textFill>
              </w:rPr>
            </w:pPr>
          </w:p>
        </w:tc>
        <w:tc>
          <w:tcPr>
            <w:tcW w:w="28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left"/>
              <w:textAlignment w:val="center"/>
              <w:rPr>
                <w:rFonts w:hint="eastAsia" w:ascii="宋体" w:hAnsi="宋体" w:eastAsia="宋体" w:cs="宋体"/>
                <w:b w:val="0"/>
                <w:bCs w:val="0"/>
                <w:i w:val="0"/>
                <w:color w:val="000000" w:themeColor="text1"/>
                <w:kern w:val="0"/>
                <w:sz w:val="18"/>
                <w:szCs w:val="18"/>
                <w:u w:val="none"/>
                <w:lang w:val="en-US" w:eastAsia="zh-CN" w:bidi="ar"/>
                <w14:textFill>
                  <w14:solidFill>
                    <w14:schemeClr w14:val="tx1"/>
                  </w14:solidFill>
                </w14:textFill>
              </w:rPr>
            </w:pPr>
          </w:p>
        </w:tc>
        <w:tc>
          <w:tcPr>
            <w:tcW w:w="2655"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left="0" w:leftChars="0" w:right="0" w:rightChars="0"/>
              <w:rPr>
                <w:rFonts w:hint="eastAsia" w:ascii="宋体" w:hAnsi="宋体" w:eastAsia="宋体" w:cs="宋体"/>
                <w:b w:val="0"/>
                <w:bCs w:val="0"/>
                <w:i w:val="0"/>
                <w:color w:val="000000" w:themeColor="text1"/>
                <w:sz w:val="18"/>
                <w:szCs w:val="18"/>
                <w:u w:val="none"/>
                <w14:textFill>
                  <w14:solidFill>
                    <w14:schemeClr w14:val="tx1"/>
                  </w14:solidFill>
                </w14:textFill>
              </w:rPr>
            </w:pPr>
          </w:p>
        </w:tc>
      </w:tr>
      <w:tr>
        <w:tblPrEx>
          <w:tblCellMar>
            <w:top w:w="0" w:type="dxa"/>
            <w:left w:w="0" w:type="dxa"/>
            <w:bottom w:w="0" w:type="dxa"/>
            <w:right w:w="0" w:type="dxa"/>
          </w:tblCellMar>
        </w:tblPrEx>
        <w:trPr>
          <w:trHeight w:val="512" w:hRule="atLeast"/>
        </w:trPr>
        <w:tc>
          <w:tcPr>
            <w:tcW w:w="92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themeColor="text1"/>
                <w:sz w:val="18"/>
                <w:szCs w:val="18"/>
                <w:u w:val="none"/>
                <w14:textFill>
                  <w14:solidFill>
                    <w14:schemeClr w14:val="tx1"/>
                  </w14:solidFill>
                </w14:textFill>
              </w:rPr>
            </w:pPr>
          </w:p>
        </w:tc>
        <w:tc>
          <w:tcPr>
            <w:tcW w:w="76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pPr>
          </w:p>
        </w:tc>
        <w:tc>
          <w:tcPr>
            <w:tcW w:w="102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pPr>
          </w:p>
        </w:tc>
        <w:tc>
          <w:tcPr>
            <w:tcW w:w="26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left"/>
              <w:textAlignment w:val="center"/>
              <w:rPr>
                <w:rFonts w:hint="eastAsia" w:ascii="宋体" w:hAnsi="宋体" w:eastAsia="宋体" w:cs="宋体"/>
                <w:b w:val="0"/>
                <w:bCs w:val="0"/>
                <w:i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b w:val="0"/>
                <w:bCs w:val="0"/>
                <w:i w:val="0"/>
                <w:color w:val="000000" w:themeColor="text1"/>
                <w:kern w:val="0"/>
                <w:sz w:val="18"/>
                <w:szCs w:val="18"/>
                <w:u w:val="none"/>
                <w:lang w:val="en-US" w:eastAsia="zh-CN" w:bidi="ar"/>
                <w14:textFill>
                  <w14:solidFill>
                    <w14:schemeClr w14:val="tx1"/>
                  </w14:solidFill>
                </w14:textFill>
              </w:rPr>
              <w:t>省协会自律公约签约及执行情况</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ind w:left="0" w:leftChars="0" w:right="0" w:rightChars="0"/>
              <w:rPr>
                <w:rFonts w:hint="eastAsia" w:ascii="宋体" w:hAnsi="宋体" w:eastAsia="宋体" w:cs="宋体"/>
                <w:b w:val="0"/>
                <w:bCs w:val="0"/>
                <w:i w:val="0"/>
                <w:color w:val="000000" w:themeColor="text1"/>
                <w:sz w:val="18"/>
                <w:szCs w:val="18"/>
                <w:u w:val="none"/>
                <w14:textFill>
                  <w14:solidFill>
                    <w14:schemeClr w14:val="tx1"/>
                  </w14:solidFill>
                </w14:textFill>
              </w:rPr>
            </w:pPr>
          </w:p>
        </w:tc>
        <w:tc>
          <w:tcPr>
            <w:tcW w:w="451" w:type="dxa"/>
            <w:vMerge w:val="continue"/>
            <w:tcBorders>
              <w:left w:val="single" w:color="000000" w:sz="4" w:space="0"/>
              <w:right w:val="single" w:color="000000" w:sz="4" w:space="0"/>
            </w:tcBorders>
            <w:shd w:val="clear" w:color="auto" w:fill="FFFFFF"/>
            <w:tcMar>
              <w:top w:w="15" w:type="dxa"/>
              <w:left w:w="15" w:type="dxa"/>
              <w:right w:w="15" w:type="dxa"/>
            </w:tcMar>
            <w:vAlign w:val="center"/>
          </w:tcPr>
          <w:p>
            <w:pPr>
              <w:ind w:left="0" w:leftChars="0" w:right="0" w:rightChars="0"/>
              <w:jc w:val="center"/>
              <w:rPr>
                <w:rFonts w:hint="default" w:ascii="Arial Narrow" w:hAnsi="Arial Narrow" w:eastAsia="Arial Narrow" w:cs="Arial Narrow"/>
                <w:b w:val="0"/>
                <w:bCs w:val="0"/>
                <w:i w:val="0"/>
                <w:color w:val="000000" w:themeColor="text1"/>
                <w:sz w:val="18"/>
                <w:szCs w:val="18"/>
                <w:u w:val="none"/>
                <w14:textFill>
                  <w14:solidFill>
                    <w14:schemeClr w14:val="tx1"/>
                  </w14:solidFill>
                </w14:textFill>
              </w:rPr>
            </w:pP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ind w:left="0" w:leftChars="0" w:right="0" w:rightChars="0"/>
              <w:jc w:val="center"/>
              <w:rPr>
                <w:rFonts w:hint="eastAsia" w:ascii="宋体" w:hAnsi="宋体" w:eastAsia="宋体" w:cs="宋体"/>
                <w:b w:val="0"/>
                <w:bCs w:val="0"/>
                <w:i w:val="0"/>
                <w:color w:val="000000" w:themeColor="text1"/>
                <w:sz w:val="18"/>
                <w:szCs w:val="18"/>
                <w:u w:val="none"/>
                <w14:textFill>
                  <w14:solidFill>
                    <w14:schemeClr w14:val="tx1"/>
                  </w14:solidFill>
                </w14:textFill>
              </w:rPr>
            </w:pPr>
            <w:r>
              <w:rPr>
                <w:rFonts w:hint="eastAsia" w:cs="宋体"/>
                <w:b w:val="0"/>
                <w:bCs w:val="0"/>
                <w:i w:val="0"/>
                <w:color w:val="000000" w:themeColor="text1"/>
                <w:sz w:val="18"/>
                <w:szCs w:val="18"/>
                <w:u w:val="none"/>
                <w:lang w:val="en-US" w:eastAsia="zh-CN"/>
                <w14:textFill>
                  <w14:solidFill>
                    <w14:schemeClr w14:val="tx1"/>
                  </w14:solidFill>
                </w14:textFill>
              </w:rPr>
              <w:t>8</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ind w:left="0" w:leftChars="0" w:right="0" w:rightChars="0"/>
              <w:jc w:val="center"/>
              <w:rPr>
                <w:rFonts w:hint="default" w:ascii="Arial Narrow" w:hAnsi="Arial Narrow" w:eastAsia="宋体" w:cs="Arial Narrow"/>
                <w:b w:val="0"/>
                <w:bCs w:val="0"/>
                <w:i w:val="0"/>
                <w:color w:val="000000" w:themeColor="text1"/>
                <w:sz w:val="18"/>
                <w:szCs w:val="18"/>
                <w:u w:val="none"/>
                <w:lang w:val="en-US" w:eastAsia="zh-CN"/>
                <w14:textFill>
                  <w14:solidFill>
                    <w14:schemeClr w14:val="tx1"/>
                  </w14:solidFill>
                </w14:textFill>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ind w:left="0" w:leftChars="0" w:right="0" w:rightChars="0"/>
              <w:rPr>
                <w:rFonts w:hint="eastAsia" w:ascii="宋体" w:hAnsi="宋体" w:eastAsia="宋体" w:cs="宋体"/>
                <w:b w:val="0"/>
                <w:bCs w:val="0"/>
                <w:i w:val="0"/>
                <w:color w:val="000000" w:themeColor="text1"/>
                <w:sz w:val="18"/>
                <w:szCs w:val="18"/>
                <w:u w:val="none"/>
                <w14:textFill>
                  <w14:solidFill>
                    <w14:schemeClr w14:val="tx1"/>
                  </w14:solidFill>
                </w14:textFill>
              </w:rPr>
            </w:pPr>
          </w:p>
        </w:tc>
        <w:tc>
          <w:tcPr>
            <w:tcW w:w="28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left"/>
              <w:textAlignment w:val="center"/>
              <w:rPr>
                <w:rFonts w:hint="eastAsia" w:ascii="宋体" w:hAnsi="宋体" w:eastAsia="宋体" w:cs="宋体"/>
                <w:b w:val="0"/>
                <w:bCs w:val="0"/>
                <w:i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b w:val="0"/>
                <w:bCs w:val="0"/>
                <w:i w:val="0"/>
                <w:color w:val="000000" w:themeColor="text1"/>
                <w:kern w:val="0"/>
                <w:sz w:val="18"/>
                <w:szCs w:val="18"/>
                <w:u w:val="none"/>
                <w:lang w:val="en-US" w:eastAsia="zh-CN" w:bidi="ar"/>
                <w14:textFill>
                  <w14:solidFill>
                    <w14:schemeClr w14:val="tx1"/>
                  </w14:solidFill>
                </w14:textFill>
              </w:rPr>
              <w:t>年度公约执行良好单位得</w:t>
            </w:r>
            <w:r>
              <w:rPr>
                <w:rFonts w:hint="eastAsia" w:cs="宋体"/>
                <w:b w:val="0"/>
                <w:bCs w:val="0"/>
                <w:i w:val="0"/>
                <w:color w:val="000000" w:themeColor="text1"/>
                <w:kern w:val="0"/>
                <w:sz w:val="18"/>
                <w:szCs w:val="18"/>
                <w:u w:val="none"/>
                <w:lang w:val="en-US" w:eastAsia="zh-CN" w:bidi="ar"/>
                <w14:textFill>
                  <w14:solidFill>
                    <w14:schemeClr w14:val="tx1"/>
                  </w14:solidFill>
                </w14:textFill>
              </w:rPr>
              <w:t>8</w:t>
            </w:r>
            <w:r>
              <w:rPr>
                <w:rFonts w:hint="eastAsia" w:ascii="宋体" w:hAnsi="宋体" w:eastAsia="宋体" w:cs="宋体"/>
                <w:b w:val="0"/>
                <w:bCs w:val="0"/>
                <w:i w:val="0"/>
                <w:color w:val="000000" w:themeColor="text1"/>
                <w:kern w:val="0"/>
                <w:sz w:val="18"/>
                <w:szCs w:val="18"/>
                <w:u w:val="none"/>
                <w:lang w:val="en-US" w:eastAsia="zh-CN" w:bidi="ar"/>
                <w14:textFill>
                  <w14:solidFill>
                    <w14:schemeClr w14:val="tx1"/>
                  </w14:solidFill>
                </w14:textFill>
              </w:rPr>
              <w:t>分</w:t>
            </w:r>
            <w:r>
              <w:rPr>
                <w:rFonts w:hint="eastAsia" w:cs="宋体"/>
                <w:b w:val="0"/>
                <w:bCs w:val="0"/>
                <w:i w:val="0"/>
                <w:color w:val="000000" w:themeColor="text1"/>
                <w:kern w:val="0"/>
                <w:sz w:val="18"/>
                <w:szCs w:val="18"/>
                <w:u w:val="none"/>
                <w:lang w:val="en-US" w:eastAsia="zh-CN" w:bidi="ar"/>
                <w14:textFill>
                  <w14:solidFill>
                    <w14:schemeClr w14:val="tx1"/>
                  </w14:solidFill>
                </w14:textFill>
              </w:rPr>
              <w:t>，每认定一次违约行为扣2分</w:t>
            </w:r>
            <w:r>
              <w:rPr>
                <w:rFonts w:hint="eastAsia" w:ascii="宋体" w:hAnsi="宋体" w:eastAsia="宋体" w:cs="宋体"/>
                <w:b w:val="0"/>
                <w:bCs w:val="0"/>
                <w:i w:val="0"/>
                <w:color w:val="000000" w:themeColor="text1"/>
                <w:kern w:val="0"/>
                <w:sz w:val="18"/>
                <w:szCs w:val="18"/>
                <w:u w:val="none"/>
                <w:lang w:val="en-US" w:eastAsia="zh-CN" w:bidi="ar"/>
                <w14:textFill>
                  <w14:solidFill>
                    <w14:schemeClr w14:val="tx1"/>
                  </w14:solidFill>
                </w14:textFill>
              </w:rPr>
              <w:t>。</w:t>
            </w:r>
          </w:p>
        </w:tc>
        <w:tc>
          <w:tcPr>
            <w:tcW w:w="2655"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left="0" w:leftChars="0" w:right="0" w:rightChars="0"/>
              <w:rPr>
                <w:rFonts w:hint="default" w:ascii="宋体" w:hAnsi="宋体" w:eastAsia="宋体" w:cs="宋体"/>
                <w:b w:val="0"/>
                <w:bCs w:val="0"/>
                <w:i w:val="0"/>
                <w:color w:val="000000" w:themeColor="text1"/>
                <w:sz w:val="18"/>
                <w:szCs w:val="18"/>
                <w:u w:val="none"/>
                <w:lang w:val="en-US" w:eastAsia="zh-CN"/>
                <w14:textFill>
                  <w14:solidFill>
                    <w14:schemeClr w14:val="tx1"/>
                  </w14:solidFill>
                </w14:textFill>
              </w:rPr>
            </w:pPr>
            <w:r>
              <w:rPr>
                <w:rFonts w:hint="eastAsia" w:cs="宋体"/>
                <w:b w:val="0"/>
                <w:bCs w:val="0"/>
                <w:i w:val="0"/>
                <w:color w:val="000000" w:themeColor="text1"/>
                <w:sz w:val="18"/>
                <w:szCs w:val="18"/>
                <w:u w:val="none"/>
                <w:lang w:val="en-US" w:eastAsia="zh-CN"/>
                <w14:textFill>
                  <w14:solidFill>
                    <w14:schemeClr w14:val="tx1"/>
                  </w14:solidFill>
                </w14:textFill>
              </w:rPr>
              <w:t>省协会诚信自律系统数据。</w:t>
            </w:r>
          </w:p>
        </w:tc>
      </w:tr>
      <w:tr>
        <w:tblPrEx>
          <w:tblCellMar>
            <w:top w:w="0" w:type="dxa"/>
            <w:left w:w="0" w:type="dxa"/>
            <w:bottom w:w="0" w:type="dxa"/>
            <w:right w:w="0" w:type="dxa"/>
          </w:tblCellMar>
        </w:tblPrEx>
        <w:trPr>
          <w:trHeight w:val="512" w:hRule="atLeast"/>
        </w:trPr>
        <w:tc>
          <w:tcPr>
            <w:tcW w:w="92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themeColor="text1"/>
                <w:sz w:val="18"/>
                <w:szCs w:val="18"/>
                <w:u w:val="none"/>
                <w14:textFill>
                  <w14:solidFill>
                    <w14:schemeClr w14:val="tx1"/>
                  </w14:solidFill>
                </w14:textFill>
              </w:rPr>
            </w:pPr>
          </w:p>
        </w:tc>
        <w:tc>
          <w:tcPr>
            <w:tcW w:w="76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pPr>
          </w:p>
        </w:tc>
        <w:tc>
          <w:tcPr>
            <w:tcW w:w="102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pPr>
          </w:p>
        </w:tc>
        <w:tc>
          <w:tcPr>
            <w:tcW w:w="26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left"/>
              <w:textAlignment w:val="center"/>
              <w:rPr>
                <w:rFonts w:hint="eastAsia" w:ascii="宋体" w:hAnsi="宋体" w:eastAsia="宋体" w:cs="宋体"/>
                <w:b w:val="0"/>
                <w:bCs w:val="0"/>
                <w:i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b w:val="0"/>
                <w:bCs w:val="0"/>
                <w:i w:val="0"/>
                <w:color w:val="000000" w:themeColor="text1"/>
                <w:kern w:val="0"/>
                <w:sz w:val="18"/>
                <w:szCs w:val="18"/>
                <w:u w:val="none"/>
                <w:lang w:val="en-US" w:eastAsia="zh-CN" w:bidi="ar"/>
                <w14:textFill>
                  <w14:solidFill>
                    <w14:schemeClr w14:val="tx1"/>
                  </w14:solidFill>
                </w14:textFill>
              </w:rPr>
              <w:t>参加省</w:t>
            </w:r>
            <w:r>
              <w:rPr>
                <w:rFonts w:hint="eastAsia" w:cs="宋体"/>
                <w:b w:val="0"/>
                <w:bCs w:val="0"/>
                <w:i w:val="0"/>
                <w:color w:val="000000" w:themeColor="text1"/>
                <w:kern w:val="0"/>
                <w:sz w:val="18"/>
                <w:szCs w:val="18"/>
                <w:u w:val="none"/>
                <w:lang w:val="en-US" w:eastAsia="zh-CN" w:bidi="ar"/>
                <w14:textFill>
                  <w14:solidFill>
                    <w14:schemeClr w14:val="tx1"/>
                  </w14:solidFill>
                </w14:textFill>
              </w:rPr>
              <w:t>市</w:t>
            </w:r>
            <w:r>
              <w:rPr>
                <w:rFonts w:hint="eastAsia" w:ascii="宋体" w:hAnsi="宋体" w:eastAsia="宋体" w:cs="宋体"/>
                <w:b w:val="0"/>
                <w:bCs w:val="0"/>
                <w:i w:val="0"/>
                <w:color w:val="000000" w:themeColor="text1"/>
                <w:kern w:val="0"/>
                <w:sz w:val="18"/>
                <w:szCs w:val="18"/>
                <w:u w:val="none"/>
                <w:lang w:val="en-US" w:eastAsia="zh-CN" w:bidi="ar"/>
                <w14:textFill>
                  <w14:solidFill>
                    <w14:schemeClr w14:val="tx1"/>
                  </w14:solidFill>
                </w14:textFill>
              </w:rPr>
              <w:t>协会组织的技能竞赛、课题研究、文体活动等</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default" w:ascii="宋体" w:hAnsi="宋体" w:eastAsia="宋体" w:cs="宋体"/>
                <w:b w:val="0"/>
                <w:bCs w:val="0"/>
                <w:i w:val="0"/>
                <w:color w:val="000000" w:themeColor="text1"/>
                <w:sz w:val="18"/>
                <w:szCs w:val="18"/>
                <w:u w:val="none"/>
                <w:lang w:val="en-US" w:eastAsia="zh-CN"/>
                <w14:textFill>
                  <w14:solidFill>
                    <w14:schemeClr w14:val="tx1"/>
                  </w14:solidFill>
                </w14:textFill>
              </w:rPr>
            </w:pPr>
            <w:r>
              <w:rPr>
                <w:rFonts w:hint="eastAsia" w:cs="宋体"/>
                <w:b w:val="0"/>
                <w:bCs w:val="0"/>
                <w:i w:val="0"/>
                <w:color w:val="000000" w:themeColor="text1"/>
                <w:sz w:val="18"/>
                <w:szCs w:val="18"/>
                <w:u w:val="none"/>
                <w:lang w:val="en-US" w:eastAsia="zh-CN"/>
                <w14:textFill>
                  <w14:solidFill>
                    <w14:schemeClr w14:val="tx1"/>
                  </w14:solidFill>
                </w14:textFill>
              </w:rPr>
              <w:t>0.5分/人次</w:t>
            </w:r>
          </w:p>
        </w:tc>
        <w:tc>
          <w:tcPr>
            <w:tcW w:w="451" w:type="dxa"/>
            <w:vMerge w:val="continue"/>
            <w:tcBorders>
              <w:left w:val="single" w:color="000000" w:sz="4" w:space="0"/>
              <w:right w:val="single" w:color="000000" w:sz="4" w:space="0"/>
            </w:tcBorders>
            <w:shd w:val="clear" w:color="auto" w:fill="FFFFFF"/>
            <w:tcMar>
              <w:top w:w="15" w:type="dxa"/>
              <w:left w:w="15" w:type="dxa"/>
              <w:right w:w="15" w:type="dxa"/>
            </w:tcMar>
            <w:vAlign w:val="center"/>
          </w:tcPr>
          <w:p>
            <w:pPr>
              <w:ind w:left="0" w:leftChars="0" w:right="0" w:rightChars="0"/>
              <w:jc w:val="center"/>
              <w:rPr>
                <w:rFonts w:hint="default" w:ascii="Arial Narrow" w:hAnsi="Arial Narrow" w:eastAsia="Arial Narrow" w:cs="Arial Narrow"/>
                <w:b w:val="0"/>
                <w:bCs w:val="0"/>
                <w:i w:val="0"/>
                <w:color w:val="000000" w:themeColor="text1"/>
                <w:sz w:val="18"/>
                <w:szCs w:val="18"/>
                <w:u w:val="none"/>
                <w14:textFill>
                  <w14:solidFill>
                    <w14:schemeClr w14:val="tx1"/>
                  </w14:solidFill>
                </w14:textFill>
              </w:rPr>
            </w:pP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ind w:left="0" w:leftChars="0" w:right="0" w:rightChars="0"/>
              <w:jc w:val="center"/>
              <w:rPr>
                <w:rFonts w:hint="eastAsia" w:ascii="宋体" w:hAnsi="宋体" w:eastAsia="宋体" w:cs="宋体"/>
                <w:b w:val="0"/>
                <w:bCs w:val="0"/>
                <w:i w:val="0"/>
                <w:color w:val="000000" w:themeColor="text1"/>
                <w:sz w:val="18"/>
                <w:szCs w:val="18"/>
                <w:u w:val="none"/>
                <w:lang w:eastAsia="zh-CN"/>
                <w14:textFill>
                  <w14:solidFill>
                    <w14:schemeClr w14:val="tx1"/>
                  </w14:solidFill>
                </w14:textFill>
              </w:rPr>
            </w:pPr>
            <w:r>
              <w:rPr>
                <w:rFonts w:hint="eastAsia" w:cs="宋体"/>
                <w:b w:val="0"/>
                <w:bCs w:val="0"/>
                <w:i w:val="0"/>
                <w:color w:val="000000" w:themeColor="text1"/>
                <w:sz w:val="18"/>
                <w:szCs w:val="18"/>
                <w:u w:val="none"/>
                <w:lang w:val="en-US" w:eastAsia="zh-CN"/>
                <w14:textFill>
                  <w14:solidFill>
                    <w14:schemeClr w14:val="tx1"/>
                  </w14:solidFill>
                </w14:textFill>
              </w:rPr>
              <w:t>1</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ind w:left="0" w:leftChars="0" w:right="0" w:rightChars="0"/>
              <w:jc w:val="center"/>
              <w:rPr>
                <w:rFonts w:hint="default" w:ascii="Arial Narrow" w:hAnsi="Arial Narrow" w:eastAsia="Arial Narrow" w:cs="Arial Narrow"/>
                <w:b w:val="0"/>
                <w:bCs w:val="0"/>
                <w:i w:val="0"/>
                <w:color w:val="000000" w:themeColor="text1"/>
                <w:sz w:val="18"/>
                <w:szCs w:val="18"/>
                <w:u w:val="none"/>
                <w14:textFill>
                  <w14:solidFill>
                    <w14:schemeClr w14:val="tx1"/>
                  </w14:solidFill>
                </w14:textFill>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ind w:left="0" w:leftChars="0" w:right="0" w:rightChars="0"/>
              <w:rPr>
                <w:rFonts w:hint="eastAsia" w:ascii="宋体" w:hAnsi="宋体" w:eastAsia="宋体" w:cs="宋体"/>
                <w:b w:val="0"/>
                <w:bCs w:val="0"/>
                <w:i w:val="0"/>
                <w:color w:val="000000" w:themeColor="text1"/>
                <w:sz w:val="18"/>
                <w:szCs w:val="18"/>
                <w:u w:val="none"/>
                <w14:textFill>
                  <w14:solidFill>
                    <w14:schemeClr w14:val="tx1"/>
                  </w14:solidFill>
                </w14:textFill>
              </w:rPr>
            </w:pPr>
          </w:p>
        </w:tc>
        <w:tc>
          <w:tcPr>
            <w:tcW w:w="28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left"/>
              <w:textAlignment w:val="center"/>
              <w:rPr>
                <w:rFonts w:hint="eastAsia" w:ascii="宋体" w:hAnsi="宋体" w:eastAsia="宋体" w:cs="宋体"/>
                <w:b w:val="0"/>
                <w:bCs w:val="0"/>
                <w:i w:val="0"/>
                <w:color w:val="000000" w:themeColor="text1"/>
                <w:kern w:val="0"/>
                <w:sz w:val="18"/>
                <w:szCs w:val="18"/>
                <w:u w:val="none"/>
                <w:lang w:val="en-US" w:eastAsia="zh-CN" w:bidi="ar"/>
                <w14:textFill>
                  <w14:solidFill>
                    <w14:schemeClr w14:val="tx1"/>
                  </w14:solidFill>
                </w14:textFill>
              </w:rPr>
            </w:pPr>
          </w:p>
        </w:tc>
        <w:tc>
          <w:tcPr>
            <w:tcW w:w="2655"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left="0" w:leftChars="0" w:right="0" w:rightChars="0"/>
              <w:rPr>
                <w:rFonts w:hint="eastAsia" w:ascii="宋体" w:hAnsi="宋体" w:eastAsia="宋体" w:cs="宋体"/>
                <w:b w:val="0"/>
                <w:bCs w:val="0"/>
                <w:i w:val="0"/>
                <w:color w:val="000000" w:themeColor="text1"/>
                <w:sz w:val="18"/>
                <w:szCs w:val="18"/>
                <w:u w:val="none"/>
                <w14:textFill>
                  <w14:solidFill>
                    <w14:schemeClr w14:val="tx1"/>
                  </w14:solidFill>
                </w14:textFill>
              </w:rPr>
            </w:pPr>
          </w:p>
        </w:tc>
      </w:tr>
      <w:tr>
        <w:tblPrEx>
          <w:tblCellMar>
            <w:top w:w="0" w:type="dxa"/>
            <w:left w:w="0" w:type="dxa"/>
            <w:bottom w:w="0" w:type="dxa"/>
            <w:right w:w="0" w:type="dxa"/>
          </w:tblCellMar>
        </w:tblPrEx>
        <w:trPr>
          <w:trHeight w:val="512" w:hRule="atLeast"/>
        </w:trPr>
        <w:tc>
          <w:tcPr>
            <w:tcW w:w="92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themeColor="text1"/>
                <w:sz w:val="18"/>
                <w:szCs w:val="18"/>
                <w:u w:val="none"/>
                <w14:textFill>
                  <w14:solidFill>
                    <w14:schemeClr w14:val="tx1"/>
                  </w14:solidFill>
                </w14:textFill>
              </w:rPr>
            </w:pPr>
          </w:p>
        </w:tc>
        <w:tc>
          <w:tcPr>
            <w:tcW w:w="76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pPr>
          </w:p>
        </w:tc>
        <w:tc>
          <w:tcPr>
            <w:tcW w:w="102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pPr>
          </w:p>
        </w:tc>
        <w:tc>
          <w:tcPr>
            <w:tcW w:w="26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left"/>
              <w:textAlignment w:val="center"/>
              <w:rPr>
                <w:rFonts w:hint="eastAsia" w:ascii="宋体" w:hAnsi="宋体" w:eastAsia="宋体" w:cs="宋体"/>
                <w:b w:val="0"/>
                <w:bCs w:val="0"/>
                <w:i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b w:val="0"/>
                <w:bCs w:val="0"/>
                <w:i w:val="0"/>
                <w:color w:val="000000" w:themeColor="text1"/>
                <w:kern w:val="0"/>
                <w:sz w:val="18"/>
                <w:szCs w:val="18"/>
                <w:u w:val="none"/>
                <w:lang w:val="en-US" w:eastAsia="zh-CN" w:bidi="ar"/>
                <w14:textFill>
                  <w14:solidFill>
                    <w14:schemeClr w14:val="tx1"/>
                  </w14:solidFill>
                </w14:textFill>
              </w:rPr>
              <w:t>在省</w:t>
            </w:r>
            <w:r>
              <w:rPr>
                <w:rFonts w:hint="eastAsia" w:cs="宋体"/>
                <w:b w:val="0"/>
                <w:bCs w:val="0"/>
                <w:i w:val="0"/>
                <w:color w:val="000000" w:themeColor="text1"/>
                <w:kern w:val="0"/>
                <w:sz w:val="18"/>
                <w:szCs w:val="18"/>
                <w:u w:val="none"/>
                <w:lang w:val="en-US" w:eastAsia="zh-CN" w:bidi="ar"/>
                <w14:textFill>
                  <w14:solidFill>
                    <w14:schemeClr w14:val="tx1"/>
                  </w14:solidFill>
                </w14:textFill>
              </w:rPr>
              <w:t>市</w:t>
            </w:r>
            <w:r>
              <w:rPr>
                <w:rFonts w:hint="eastAsia" w:ascii="宋体" w:hAnsi="宋体" w:eastAsia="宋体" w:cs="宋体"/>
                <w:b w:val="0"/>
                <w:bCs w:val="0"/>
                <w:i w:val="0"/>
                <w:color w:val="000000" w:themeColor="text1"/>
                <w:kern w:val="0"/>
                <w:sz w:val="18"/>
                <w:szCs w:val="18"/>
                <w:u w:val="none"/>
                <w:lang w:val="en-US" w:eastAsia="zh-CN" w:bidi="ar"/>
                <w14:textFill>
                  <w14:solidFill>
                    <w14:schemeClr w14:val="tx1"/>
                  </w14:solidFill>
                </w14:textFill>
              </w:rPr>
              <w:t>协会会刊、网站、公众号上发表相关的论文、案例、通讯稿等</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default" w:ascii="Arial Narrow" w:hAnsi="Arial Narrow" w:eastAsia="Arial Narrow" w:cs="Arial Narrow"/>
                <w:b w:val="0"/>
                <w:bCs w:val="0"/>
                <w:i w:val="0"/>
                <w:color w:val="000000" w:themeColor="text1"/>
                <w:kern w:val="0"/>
                <w:sz w:val="18"/>
                <w:szCs w:val="18"/>
                <w:u w:val="none"/>
                <w:lang w:val="en-US" w:eastAsia="zh-CN" w:bidi="ar"/>
                <w14:textFill>
                  <w14:solidFill>
                    <w14:schemeClr w14:val="tx1"/>
                  </w14:solidFill>
                </w14:textFill>
              </w:rPr>
            </w:pPr>
            <w:r>
              <w:rPr>
                <w:rFonts w:hint="eastAsia" w:ascii="Arial Narrow" w:hAnsi="Arial Narrow" w:eastAsia="Arial Narrow" w:cs="Arial Narrow"/>
                <w:b w:val="0"/>
                <w:bCs w:val="0"/>
                <w:i w:val="0"/>
                <w:color w:val="000000" w:themeColor="text1"/>
                <w:kern w:val="0"/>
                <w:sz w:val="18"/>
                <w:szCs w:val="18"/>
                <w:u w:val="none"/>
                <w:lang w:val="en-US" w:eastAsia="zh-CN" w:bidi="ar"/>
                <w14:textFill>
                  <w14:solidFill>
                    <w14:schemeClr w14:val="tx1"/>
                  </w14:solidFill>
                </w14:textFill>
              </w:rPr>
              <w:t>1分/人次</w:t>
            </w:r>
          </w:p>
        </w:tc>
        <w:tc>
          <w:tcPr>
            <w:tcW w:w="451" w:type="dxa"/>
            <w:vMerge w:val="continue"/>
            <w:tcBorders>
              <w:left w:val="single" w:color="000000" w:sz="4" w:space="0"/>
              <w:right w:val="single" w:color="000000" w:sz="4" w:space="0"/>
            </w:tcBorders>
            <w:shd w:val="clear" w:color="auto" w:fill="FFFFFF"/>
            <w:tcMar>
              <w:top w:w="15" w:type="dxa"/>
              <w:left w:w="15" w:type="dxa"/>
              <w:right w:w="15" w:type="dxa"/>
            </w:tcMar>
            <w:vAlign w:val="center"/>
          </w:tcPr>
          <w:p>
            <w:pPr>
              <w:ind w:left="0" w:leftChars="0" w:right="0" w:rightChars="0"/>
              <w:jc w:val="center"/>
              <w:rPr>
                <w:rFonts w:hint="default" w:ascii="Arial Narrow" w:hAnsi="Arial Narrow" w:eastAsia="Arial Narrow" w:cs="Arial Narrow"/>
                <w:b w:val="0"/>
                <w:bCs w:val="0"/>
                <w:i w:val="0"/>
                <w:color w:val="000000" w:themeColor="text1"/>
                <w:sz w:val="18"/>
                <w:szCs w:val="18"/>
                <w:u w:val="none"/>
                <w14:textFill>
                  <w14:solidFill>
                    <w14:schemeClr w14:val="tx1"/>
                  </w14:solidFill>
                </w14:textFill>
              </w:rPr>
            </w:pP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ind w:left="0" w:leftChars="0" w:right="0" w:rightChars="0"/>
              <w:jc w:val="center"/>
              <w:rPr>
                <w:rFonts w:hint="eastAsia" w:ascii="宋体" w:hAnsi="宋体" w:eastAsia="宋体" w:cs="宋体"/>
                <w:b w:val="0"/>
                <w:bCs w:val="0"/>
                <w:i w:val="0"/>
                <w:color w:val="000000" w:themeColor="text1"/>
                <w:sz w:val="18"/>
                <w:szCs w:val="18"/>
                <w:u w:val="none"/>
                <w:lang w:eastAsia="zh-CN"/>
                <w14:textFill>
                  <w14:solidFill>
                    <w14:schemeClr w14:val="tx1"/>
                  </w14:solidFill>
                </w14:textFill>
              </w:rPr>
            </w:pPr>
            <w:r>
              <w:rPr>
                <w:rFonts w:hint="eastAsia" w:cs="宋体"/>
                <w:b w:val="0"/>
                <w:bCs w:val="0"/>
                <w:i w:val="0"/>
                <w:color w:val="000000" w:themeColor="text1"/>
                <w:sz w:val="18"/>
                <w:szCs w:val="18"/>
                <w:u w:val="none"/>
                <w:lang w:val="en-US" w:eastAsia="zh-CN"/>
                <w14:textFill>
                  <w14:solidFill>
                    <w14:schemeClr w14:val="tx1"/>
                  </w14:solidFill>
                </w14:textFill>
              </w:rPr>
              <w:t>2</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ind w:left="0" w:leftChars="0" w:right="0" w:rightChars="0"/>
              <w:jc w:val="center"/>
              <w:rPr>
                <w:rFonts w:hint="default" w:ascii="Arial Narrow" w:hAnsi="Arial Narrow" w:eastAsia="Arial Narrow" w:cs="Arial Narrow"/>
                <w:b w:val="0"/>
                <w:bCs w:val="0"/>
                <w:i w:val="0"/>
                <w:color w:val="000000" w:themeColor="text1"/>
                <w:sz w:val="18"/>
                <w:szCs w:val="18"/>
                <w:u w:val="none"/>
                <w14:textFill>
                  <w14:solidFill>
                    <w14:schemeClr w14:val="tx1"/>
                  </w14:solidFill>
                </w14:textFill>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ind w:left="0" w:leftChars="0" w:right="0" w:rightChars="0"/>
              <w:rPr>
                <w:rFonts w:hint="eastAsia" w:ascii="宋体" w:hAnsi="宋体" w:eastAsia="宋体" w:cs="宋体"/>
                <w:b w:val="0"/>
                <w:bCs w:val="0"/>
                <w:i w:val="0"/>
                <w:color w:val="000000" w:themeColor="text1"/>
                <w:sz w:val="18"/>
                <w:szCs w:val="18"/>
                <w:u w:val="none"/>
                <w14:textFill>
                  <w14:solidFill>
                    <w14:schemeClr w14:val="tx1"/>
                  </w14:solidFill>
                </w14:textFill>
              </w:rPr>
            </w:pPr>
          </w:p>
        </w:tc>
        <w:tc>
          <w:tcPr>
            <w:tcW w:w="28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left"/>
              <w:textAlignment w:val="center"/>
              <w:rPr>
                <w:rFonts w:hint="eastAsia" w:ascii="宋体" w:hAnsi="宋体" w:eastAsia="宋体" w:cs="宋体"/>
                <w:b w:val="0"/>
                <w:bCs w:val="0"/>
                <w:i w:val="0"/>
                <w:color w:val="000000" w:themeColor="text1"/>
                <w:kern w:val="0"/>
                <w:sz w:val="18"/>
                <w:szCs w:val="18"/>
                <w:u w:val="none"/>
                <w:lang w:val="en-US" w:eastAsia="zh-CN" w:bidi="ar"/>
                <w14:textFill>
                  <w14:solidFill>
                    <w14:schemeClr w14:val="tx1"/>
                  </w14:solidFill>
                </w14:textFill>
              </w:rPr>
            </w:pPr>
          </w:p>
        </w:tc>
        <w:tc>
          <w:tcPr>
            <w:tcW w:w="2655"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left="0" w:leftChars="0" w:right="0" w:rightChars="0"/>
              <w:rPr>
                <w:rFonts w:hint="eastAsia" w:ascii="宋体" w:hAnsi="宋体" w:eastAsia="宋体" w:cs="宋体"/>
                <w:b w:val="0"/>
                <w:bCs w:val="0"/>
                <w:i w:val="0"/>
                <w:color w:val="000000" w:themeColor="text1"/>
                <w:sz w:val="18"/>
                <w:szCs w:val="18"/>
                <w:u w:val="none"/>
                <w14:textFill>
                  <w14:solidFill>
                    <w14:schemeClr w14:val="tx1"/>
                  </w14:solidFill>
                </w14:textFill>
              </w:rPr>
            </w:pPr>
          </w:p>
        </w:tc>
      </w:tr>
      <w:tr>
        <w:tblPrEx>
          <w:tblCellMar>
            <w:top w:w="0" w:type="dxa"/>
            <w:left w:w="0" w:type="dxa"/>
            <w:bottom w:w="0" w:type="dxa"/>
            <w:right w:w="0" w:type="dxa"/>
          </w:tblCellMar>
        </w:tblPrEx>
        <w:trPr>
          <w:trHeight w:val="512" w:hRule="atLeast"/>
        </w:trPr>
        <w:tc>
          <w:tcPr>
            <w:tcW w:w="92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themeColor="text1"/>
                <w:sz w:val="18"/>
                <w:szCs w:val="18"/>
                <w:u w:val="none"/>
                <w14:textFill>
                  <w14:solidFill>
                    <w14:schemeClr w14:val="tx1"/>
                  </w14:solidFill>
                </w14:textFill>
              </w:rPr>
            </w:pPr>
          </w:p>
        </w:tc>
        <w:tc>
          <w:tcPr>
            <w:tcW w:w="76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pPr>
          </w:p>
        </w:tc>
        <w:tc>
          <w:tcPr>
            <w:tcW w:w="102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themeColor="text1"/>
                <w:kern w:val="0"/>
                <w:sz w:val="18"/>
                <w:szCs w:val="18"/>
                <w:u w:val="none"/>
                <w:lang w:val="en-US" w:eastAsia="zh-CN" w:bidi="ar"/>
                <w14:textFill>
                  <w14:solidFill>
                    <w14:schemeClr w14:val="tx1"/>
                  </w14:solidFill>
                </w14:textFill>
              </w:rPr>
            </w:pPr>
          </w:p>
        </w:tc>
        <w:tc>
          <w:tcPr>
            <w:tcW w:w="26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left"/>
              <w:textAlignment w:val="center"/>
              <w:rPr>
                <w:rFonts w:hint="eastAsia" w:ascii="宋体" w:hAnsi="宋体" w:eastAsia="宋体" w:cs="宋体"/>
                <w:b w:val="0"/>
                <w:bCs w:val="0"/>
                <w:i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b w:val="0"/>
                <w:bCs w:val="0"/>
                <w:i w:val="0"/>
                <w:color w:val="000000" w:themeColor="text1"/>
                <w:kern w:val="0"/>
                <w:sz w:val="18"/>
                <w:szCs w:val="18"/>
                <w:u w:val="none"/>
                <w:lang w:val="en-US" w:eastAsia="zh-CN" w:bidi="ar"/>
                <w14:textFill>
                  <w14:solidFill>
                    <w14:schemeClr w14:val="tx1"/>
                  </w14:solidFill>
                </w14:textFill>
              </w:rPr>
              <w:t>省</w:t>
            </w:r>
            <w:r>
              <w:rPr>
                <w:rFonts w:hint="eastAsia" w:cs="宋体"/>
                <w:b w:val="0"/>
                <w:bCs w:val="0"/>
                <w:i w:val="0"/>
                <w:color w:val="000000" w:themeColor="text1"/>
                <w:kern w:val="0"/>
                <w:sz w:val="18"/>
                <w:szCs w:val="18"/>
                <w:u w:val="none"/>
                <w:lang w:val="en-US" w:eastAsia="zh-CN" w:bidi="ar"/>
                <w14:textFill>
                  <w14:solidFill>
                    <w14:schemeClr w14:val="tx1"/>
                  </w14:solidFill>
                </w14:textFill>
              </w:rPr>
              <w:t>市</w:t>
            </w:r>
            <w:r>
              <w:rPr>
                <w:rFonts w:hint="eastAsia" w:ascii="宋体" w:hAnsi="宋体" w:eastAsia="宋体" w:cs="宋体"/>
                <w:b w:val="0"/>
                <w:bCs w:val="0"/>
                <w:i w:val="0"/>
                <w:color w:val="000000" w:themeColor="text1"/>
                <w:kern w:val="0"/>
                <w:sz w:val="18"/>
                <w:szCs w:val="18"/>
                <w:u w:val="none"/>
                <w:lang w:val="en-US" w:eastAsia="zh-CN" w:bidi="ar"/>
                <w14:textFill>
                  <w14:solidFill>
                    <w14:schemeClr w14:val="tx1"/>
                  </w14:solidFill>
                </w14:textFill>
              </w:rPr>
              <w:t>协会公开表彰企业或企业从业人员</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ind w:left="0" w:leftChars="0" w:right="0" w:rightChars="0"/>
              <w:jc w:val="center"/>
              <w:rPr>
                <w:rFonts w:hint="default" w:ascii="Arial Narrow" w:hAnsi="Arial Narrow" w:eastAsia="Arial Narrow" w:cs="Arial Narrow"/>
                <w:b w:val="0"/>
                <w:bCs w:val="0"/>
                <w:i w:val="0"/>
                <w:color w:val="000000" w:themeColor="text1"/>
                <w:kern w:val="0"/>
                <w:sz w:val="18"/>
                <w:szCs w:val="18"/>
                <w:u w:val="none"/>
                <w:lang w:val="en-US" w:eastAsia="zh-CN" w:bidi="ar"/>
                <w14:textFill>
                  <w14:solidFill>
                    <w14:schemeClr w14:val="tx1"/>
                  </w14:solidFill>
                </w14:textFill>
              </w:rPr>
            </w:pPr>
            <w:r>
              <w:rPr>
                <w:rFonts w:hint="eastAsia" w:ascii="Arial Narrow" w:hAnsi="Arial Narrow" w:eastAsia="Arial Narrow" w:cs="Arial Narrow"/>
                <w:b w:val="0"/>
                <w:bCs w:val="0"/>
                <w:i w:val="0"/>
                <w:color w:val="000000" w:themeColor="text1"/>
                <w:kern w:val="0"/>
                <w:sz w:val="18"/>
                <w:szCs w:val="18"/>
                <w:u w:val="none"/>
                <w:lang w:val="en-US" w:eastAsia="zh-CN" w:bidi="ar"/>
                <w14:textFill>
                  <w14:solidFill>
                    <w14:schemeClr w14:val="tx1"/>
                  </w14:solidFill>
                </w14:textFill>
              </w:rPr>
              <w:t>1分/人次</w:t>
            </w:r>
          </w:p>
        </w:tc>
        <w:tc>
          <w:tcPr>
            <w:tcW w:w="451" w:type="dxa"/>
            <w:vMerge w:val="continue"/>
            <w:tcBorders>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left="0" w:leftChars="0" w:right="0" w:rightChars="0"/>
              <w:jc w:val="center"/>
              <w:rPr>
                <w:rFonts w:hint="default" w:ascii="Arial Narrow" w:hAnsi="Arial Narrow" w:eastAsia="Arial Narrow" w:cs="Arial Narrow"/>
                <w:b w:val="0"/>
                <w:bCs w:val="0"/>
                <w:i w:val="0"/>
                <w:color w:val="000000" w:themeColor="text1"/>
                <w:sz w:val="18"/>
                <w:szCs w:val="18"/>
                <w:u w:val="none"/>
                <w14:textFill>
                  <w14:solidFill>
                    <w14:schemeClr w14:val="tx1"/>
                  </w14:solidFill>
                </w14:textFill>
              </w:rPr>
            </w:pP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ind w:left="0" w:leftChars="0" w:right="0" w:rightChars="0"/>
              <w:jc w:val="center"/>
              <w:rPr>
                <w:rFonts w:hint="eastAsia" w:ascii="宋体" w:hAnsi="宋体" w:eastAsia="宋体" w:cs="宋体"/>
                <w:b w:val="0"/>
                <w:bCs w:val="0"/>
                <w:i w:val="0"/>
                <w:color w:val="000000" w:themeColor="text1"/>
                <w:sz w:val="18"/>
                <w:szCs w:val="18"/>
                <w:u w:val="none"/>
                <w:lang w:eastAsia="zh-CN"/>
                <w14:textFill>
                  <w14:solidFill>
                    <w14:schemeClr w14:val="tx1"/>
                  </w14:solidFill>
                </w14:textFill>
              </w:rPr>
            </w:pPr>
            <w:r>
              <w:rPr>
                <w:rFonts w:hint="eastAsia" w:cs="宋体"/>
                <w:b w:val="0"/>
                <w:bCs w:val="0"/>
                <w:i w:val="0"/>
                <w:color w:val="000000" w:themeColor="text1"/>
                <w:sz w:val="18"/>
                <w:szCs w:val="18"/>
                <w:u w:val="none"/>
                <w:lang w:val="en-US" w:eastAsia="zh-CN"/>
                <w14:textFill>
                  <w14:solidFill>
                    <w14:schemeClr w14:val="tx1"/>
                  </w14:solidFill>
                </w14:textFill>
              </w:rPr>
              <w:t>1</w:t>
            </w:r>
          </w:p>
        </w:tc>
        <w:tc>
          <w:tcPr>
            <w:tcW w:w="480"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ind w:left="0" w:leftChars="0" w:right="0" w:rightChars="0"/>
              <w:jc w:val="center"/>
              <w:rPr>
                <w:rFonts w:hint="default" w:ascii="Arial Narrow" w:hAnsi="Arial Narrow" w:eastAsia="Arial Narrow" w:cs="Arial Narrow"/>
                <w:b w:val="0"/>
                <w:bCs w:val="0"/>
                <w:i w:val="0"/>
                <w:color w:val="000000" w:themeColor="text1"/>
                <w:sz w:val="18"/>
                <w:szCs w:val="18"/>
                <w:u w:val="none"/>
                <w14:textFill>
                  <w14:solidFill>
                    <w14:schemeClr w14:val="tx1"/>
                  </w14:solidFill>
                </w14:textFill>
              </w:rPr>
            </w:pPr>
          </w:p>
        </w:tc>
        <w:tc>
          <w:tcPr>
            <w:tcW w:w="495"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ind w:left="0" w:leftChars="0" w:right="0" w:rightChars="0"/>
              <w:rPr>
                <w:rFonts w:hint="eastAsia" w:ascii="宋体" w:hAnsi="宋体" w:eastAsia="宋体" w:cs="宋体"/>
                <w:b w:val="0"/>
                <w:bCs w:val="0"/>
                <w:i w:val="0"/>
                <w:color w:val="000000" w:themeColor="text1"/>
                <w:sz w:val="18"/>
                <w:szCs w:val="18"/>
                <w:u w:val="none"/>
                <w14:textFill>
                  <w14:solidFill>
                    <w14:schemeClr w14:val="tx1"/>
                  </w14:solidFill>
                </w14:textFill>
              </w:rPr>
            </w:pPr>
          </w:p>
        </w:tc>
        <w:tc>
          <w:tcPr>
            <w:tcW w:w="28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left"/>
              <w:textAlignment w:val="center"/>
              <w:rPr>
                <w:rFonts w:hint="eastAsia" w:ascii="宋体" w:hAnsi="宋体" w:eastAsia="宋体" w:cs="宋体"/>
                <w:b w:val="0"/>
                <w:bCs w:val="0"/>
                <w:i w:val="0"/>
                <w:color w:val="000000" w:themeColor="text1"/>
                <w:kern w:val="0"/>
                <w:sz w:val="18"/>
                <w:szCs w:val="18"/>
                <w:u w:val="none"/>
                <w:lang w:val="en-US" w:eastAsia="zh-CN" w:bidi="ar"/>
                <w14:textFill>
                  <w14:solidFill>
                    <w14:schemeClr w14:val="tx1"/>
                  </w14:solidFill>
                </w14:textFill>
              </w:rPr>
            </w:pPr>
          </w:p>
        </w:tc>
        <w:tc>
          <w:tcPr>
            <w:tcW w:w="2655"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left="0" w:leftChars="0" w:right="0" w:rightChars="0"/>
              <w:rPr>
                <w:rFonts w:hint="eastAsia" w:ascii="宋体" w:hAnsi="宋体" w:eastAsia="宋体" w:cs="宋体"/>
                <w:b w:val="0"/>
                <w:bCs w:val="0"/>
                <w:i w:val="0"/>
                <w:color w:val="000000" w:themeColor="text1"/>
                <w:sz w:val="18"/>
                <w:szCs w:val="18"/>
                <w:u w:val="none"/>
                <w14:textFill>
                  <w14:solidFill>
                    <w14:schemeClr w14:val="tx1"/>
                  </w14:solidFill>
                </w14:textFill>
              </w:rPr>
            </w:pPr>
          </w:p>
        </w:tc>
      </w:tr>
    </w:tbl>
    <w:p>
      <w:pPr>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br w:type="page"/>
      </w:r>
    </w:p>
    <w:tbl>
      <w:tblPr>
        <w:tblStyle w:val="6"/>
        <w:tblW w:w="14113" w:type="dxa"/>
        <w:tblInd w:w="0" w:type="dxa"/>
        <w:shd w:val="clear" w:color="auto" w:fill="auto"/>
        <w:tblLayout w:type="fixed"/>
        <w:tblCellMar>
          <w:top w:w="0" w:type="dxa"/>
          <w:left w:w="0" w:type="dxa"/>
          <w:bottom w:w="0" w:type="dxa"/>
          <w:right w:w="0" w:type="dxa"/>
        </w:tblCellMar>
      </w:tblPr>
      <w:tblGrid>
        <w:gridCol w:w="926"/>
        <w:gridCol w:w="766"/>
        <w:gridCol w:w="1133"/>
        <w:gridCol w:w="1740"/>
        <w:gridCol w:w="2655"/>
        <w:gridCol w:w="840"/>
        <w:gridCol w:w="615"/>
        <w:gridCol w:w="870"/>
        <w:gridCol w:w="1125"/>
        <w:gridCol w:w="2115"/>
        <w:gridCol w:w="1328"/>
      </w:tblGrid>
      <w:tr>
        <w:tblPrEx>
          <w:shd w:val="clear" w:color="auto" w:fill="auto"/>
        </w:tblPrEx>
        <w:trPr>
          <w:trHeight w:val="512" w:hRule="atLeast"/>
        </w:trPr>
        <w:tc>
          <w:tcPr>
            <w:tcW w:w="9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FF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二级指标</w:t>
            </w:r>
          </w:p>
        </w:tc>
        <w:tc>
          <w:tcPr>
            <w:tcW w:w="11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FF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三级指标</w:t>
            </w:r>
          </w:p>
        </w:tc>
        <w:tc>
          <w:tcPr>
            <w:tcW w:w="17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评价标准</w:t>
            </w:r>
          </w:p>
        </w:tc>
        <w:tc>
          <w:tcPr>
            <w:tcW w:w="26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Arial Narrow" w:hAnsi="Arial Narrow" w:eastAsia="Arial Narrow" w:cs="Arial Narrow"/>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计算公式</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default" w:ascii="Arial Narrow" w:hAnsi="Arial Narrow" w:eastAsia="Arial Narrow" w:cs="Arial Narrow"/>
                <w:i w:val="0"/>
                <w:color w:val="FF0000"/>
                <w:sz w:val="18"/>
                <w:szCs w:val="18"/>
                <w:u w:val="none"/>
              </w:rPr>
            </w:pPr>
            <w:r>
              <w:rPr>
                <w:rFonts w:hint="eastAsia" w:ascii="宋体" w:hAnsi="宋体" w:eastAsia="宋体" w:cs="宋体"/>
                <w:b/>
                <w:i w:val="0"/>
                <w:color w:val="000000"/>
                <w:kern w:val="0"/>
                <w:sz w:val="18"/>
                <w:szCs w:val="18"/>
                <w:u w:val="none"/>
                <w:lang w:val="en-US" w:eastAsia="zh-CN" w:bidi="ar"/>
              </w:rPr>
              <w:t>得分限额</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auto"/>
                <w:sz w:val="18"/>
                <w:szCs w:val="18"/>
                <w:u w:val="none"/>
              </w:rPr>
            </w:pPr>
            <w:r>
              <w:rPr>
                <w:rFonts w:hint="eastAsia" w:ascii="宋体" w:hAnsi="宋体" w:eastAsia="宋体" w:cs="宋体"/>
                <w:b/>
                <w:i w:val="0"/>
                <w:color w:val="000000"/>
                <w:kern w:val="0"/>
                <w:sz w:val="18"/>
                <w:szCs w:val="18"/>
                <w:u w:val="none"/>
                <w:lang w:val="en-US" w:eastAsia="zh-CN" w:bidi="ar"/>
              </w:rPr>
              <w:t>得分</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default" w:ascii="Arial Narrow" w:hAnsi="Arial Narrow" w:eastAsia="Arial Narrow" w:cs="Arial Narrow"/>
                <w:i w:val="0"/>
                <w:color w:val="FF0000"/>
                <w:sz w:val="18"/>
                <w:szCs w:val="18"/>
                <w:u w:val="none"/>
              </w:rPr>
            </w:pPr>
            <w:r>
              <w:rPr>
                <w:rFonts w:hint="eastAsia" w:ascii="宋体" w:hAnsi="宋体" w:eastAsia="宋体" w:cs="宋体"/>
                <w:b/>
                <w:i w:val="0"/>
                <w:color w:val="000000"/>
                <w:kern w:val="0"/>
                <w:sz w:val="18"/>
                <w:szCs w:val="18"/>
                <w:u w:val="none"/>
                <w:lang w:val="en-US" w:eastAsia="zh-CN" w:bidi="ar"/>
              </w:rPr>
              <w:t>扣分限额</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FF0000"/>
                <w:sz w:val="18"/>
                <w:szCs w:val="18"/>
                <w:u w:val="none"/>
              </w:rPr>
            </w:pPr>
            <w:r>
              <w:rPr>
                <w:rFonts w:hint="eastAsia" w:ascii="宋体" w:hAnsi="宋体" w:eastAsia="宋体" w:cs="宋体"/>
                <w:b/>
                <w:i w:val="0"/>
                <w:color w:val="000000"/>
                <w:kern w:val="0"/>
                <w:sz w:val="18"/>
                <w:szCs w:val="18"/>
                <w:u w:val="none"/>
                <w:lang w:val="en-US" w:eastAsia="zh-CN" w:bidi="ar"/>
              </w:rPr>
              <w:t>扣分</w:t>
            </w:r>
          </w:p>
        </w:tc>
        <w:tc>
          <w:tcPr>
            <w:tcW w:w="21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FF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说明</w:t>
            </w:r>
          </w:p>
        </w:tc>
        <w:tc>
          <w:tcPr>
            <w:tcW w:w="132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FF0000"/>
                <w:sz w:val="18"/>
                <w:szCs w:val="18"/>
                <w:u w:val="none"/>
              </w:rPr>
            </w:pPr>
            <w:r>
              <w:rPr>
                <w:rFonts w:hint="eastAsia" w:ascii="宋体" w:hAnsi="宋体" w:eastAsia="宋体" w:cs="宋体"/>
                <w:b/>
                <w:i w:val="0"/>
                <w:color w:val="000000"/>
                <w:kern w:val="0"/>
                <w:sz w:val="18"/>
                <w:szCs w:val="18"/>
                <w:u w:val="none"/>
                <w:lang w:val="en-US" w:eastAsia="zh-CN" w:bidi="ar"/>
              </w:rPr>
              <w:t xml:space="preserve"> 数据来源</w:t>
            </w:r>
          </w:p>
        </w:tc>
      </w:tr>
      <w:tr>
        <w:trPr>
          <w:trHeight w:val="707" w:hRule="atLeast"/>
        </w:trPr>
        <w:tc>
          <w:tcPr>
            <w:tcW w:w="926"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4.良好行为和不良行为</w:t>
            </w:r>
          </w:p>
        </w:tc>
        <w:tc>
          <w:tcPr>
            <w:tcW w:w="76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良好行为加分</w:t>
            </w:r>
          </w:p>
        </w:tc>
        <w:tc>
          <w:tcPr>
            <w:tcW w:w="113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良好行为</w:t>
            </w:r>
          </w:p>
        </w:tc>
        <w:tc>
          <w:tcPr>
            <w:tcW w:w="17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见良好行为加分表（附件3）</w:t>
            </w:r>
          </w:p>
        </w:tc>
        <w:tc>
          <w:tcPr>
            <w:tcW w:w="26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10</w:t>
            </w:r>
          </w:p>
        </w:tc>
        <w:tc>
          <w:tcPr>
            <w:tcW w:w="6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1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最高得分限10分。</w:t>
            </w:r>
          </w:p>
        </w:tc>
        <w:tc>
          <w:tcPr>
            <w:tcW w:w="132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rPr>
          <w:trHeight w:val="90" w:hRule="atLeast"/>
        </w:trPr>
        <w:tc>
          <w:tcPr>
            <w:tcW w:w="92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不良行为扣分</w:t>
            </w:r>
          </w:p>
        </w:tc>
        <w:tc>
          <w:tcPr>
            <w:tcW w:w="113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4.2.1</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不良行为</w:t>
            </w:r>
          </w:p>
        </w:tc>
        <w:tc>
          <w:tcPr>
            <w:tcW w:w="17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见不良行为扣分表（附件4）</w:t>
            </w:r>
          </w:p>
        </w:tc>
        <w:tc>
          <w:tcPr>
            <w:tcW w:w="26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hint="default" w:ascii="Arial Narrow" w:hAnsi="Arial Narrow" w:eastAsia="Arial Narrow" w:cs="Arial Narrow"/>
                <w:i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Arial Narrow" w:hAnsi="Arial Narrow" w:eastAsia="Arial Narrow" w:cs="Arial Narrow"/>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1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最高减分不限。</w:t>
            </w:r>
          </w:p>
        </w:tc>
        <w:tc>
          <w:tcPr>
            <w:tcW w:w="132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rPr>
          <w:trHeight w:val="225" w:hRule="atLeast"/>
        </w:trPr>
        <w:tc>
          <w:tcPr>
            <w:tcW w:w="722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合     计</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18"/>
                <w:szCs w:val="18"/>
                <w:u w:val="none"/>
              </w:rPr>
            </w:pPr>
            <w:r>
              <w:rPr>
                <w:rFonts w:hint="default" w:ascii="Arial Narrow" w:hAnsi="Arial Narrow" w:eastAsia="Arial Narrow" w:cs="Arial Narrow"/>
                <w:i w:val="0"/>
                <w:color w:val="000000"/>
                <w:kern w:val="0"/>
                <w:sz w:val="18"/>
                <w:szCs w:val="18"/>
                <w:u w:val="none"/>
                <w:lang w:val="en-US" w:eastAsia="zh-CN" w:bidi="ar"/>
              </w:rPr>
              <w:t>100</w:t>
            </w:r>
          </w:p>
        </w:tc>
        <w:tc>
          <w:tcPr>
            <w:tcW w:w="6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1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32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注： 1、数据来源栏没有说明的，均为“企业填报相关信息，准备相关材料备查，接受社会监督”；</w:t>
      </w:r>
    </w:p>
    <w:p>
      <w:pPr>
        <w:keepNext w:val="0"/>
        <w:keepLines w:val="0"/>
        <w:pageBreakBefore w:val="0"/>
        <w:widowControl w:val="0"/>
        <w:numPr>
          <w:ilvl w:val="0"/>
          <w:numId w:val="2"/>
        </w:numPr>
        <w:kinsoku/>
        <w:wordWrap/>
        <w:overflowPunct/>
        <w:topLinePunct w:val="0"/>
        <w:autoSpaceDE w:val="0"/>
        <w:autoSpaceDN w:val="0"/>
        <w:bidi w:val="0"/>
        <w:adjustRightInd/>
        <w:snapToGrid/>
        <w:spacing w:line="360" w:lineRule="auto"/>
        <w:ind w:left="525" w:leftChars="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得分合计100分，所有得分小数点后保留2位。</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right="0" w:rightChars="0"/>
        <w:jc w:val="left"/>
        <w:textAlignment w:val="auto"/>
        <w:rPr>
          <w:rFonts w:hint="eastAsia" w:asciiTheme="minorEastAsia" w:hAnsiTheme="minorEastAsia" w:eastAsiaTheme="minorEastAsia" w:cstheme="minorEastAsia"/>
          <w:sz w:val="21"/>
          <w:szCs w:val="21"/>
          <w:lang w:val="en-US" w:eastAsia="zh-CN"/>
        </w:rPr>
      </w:pPr>
    </w:p>
    <w:p>
      <w:pPr>
        <w:rPr>
          <w:rFonts w:hint="default" w:asciiTheme="minorEastAsia" w:hAnsiTheme="minorEastAsia" w:eastAsiaTheme="minorEastAsia" w:cstheme="minorEastAsia"/>
          <w:sz w:val="21"/>
          <w:szCs w:val="21"/>
          <w:lang w:val="en-US" w:eastAsia="zh-CN"/>
        </w:rPr>
      </w:pPr>
    </w:p>
    <w:p>
      <w:pPr>
        <w:rPr>
          <w:rFonts w:hint="default" w:asciiTheme="minorEastAsia" w:hAnsiTheme="minorEastAsia" w:eastAsiaTheme="minorEastAsia" w:cstheme="minorEastAsia"/>
          <w:sz w:val="21"/>
          <w:szCs w:val="21"/>
          <w:lang w:val="en-US" w:eastAsia="zh-CN"/>
        </w:rPr>
      </w:pPr>
    </w:p>
    <w:tbl>
      <w:tblPr>
        <w:tblStyle w:val="6"/>
        <w:tblpPr w:leftFromText="180" w:rightFromText="180" w:vertAnchor="text" w:horzAnchor="page" w:tblpX="1430" w:tblpY="115"/>
        <w:tblOverlap w:val="never"/>
        <w:tblW w:w="14120" w:type="dxa"/>
        <w:tblInd w:w="0" w:type="dxa"/>
        <w:shd w:val="clear" w:color="auto" w:fill="auto"/>
        <w:tblLayout w:type="fixed"/>
        <w:tblCellMar>
          <w:top w:w="0" w:type="dxa"/>
          <w:left w:w="0" w:type="dxa"/>
          <w:bottom w:w="0" w:type="dxa"/>
          <w:right w:w="0" w:type="dxa"/>
        </w:tblCellMar>
      </w:tblPr>
      <w:tblGrid>
        <w:gridCol w:w="568"/>
        <w:gridCol w:w="1150"/>
        <w:gridCol w:w="1217"/>
        <w:gridCol w:w="1042"/>
        <w:gridCol w:w="951"/>
        <w:gridCol w:w="905"/>
        <w:gridCol w:w="1019"/>
        <w:gridCol w:w="1067"/>
        <w:gridCol w:w="1054"/>
        <w:gridCol w:w="1033"/>
        <w:gridCol w:w="1031"/>
        <w:gridCol w:w="927"/>
        <w:gridCol w:w="1033"/>
        <w:gridCol w:w="1123"/>
      </w:tblGrid>
      <w:tr>
        <w:tblPrEx>
          <w:shd w:val="clear" w:color="auto" w:fill="auto"/>
          <w:tblCellMar>
            <w:top w:w="0" w:type="dxa"/>
            <w:left w:w="0" w:type="dxa"/>
            <w:bottom w:w="0" w:type="dxa"/>
            <w:right w:w="0" w:type="dxa"/>
          </w:tblCellMar>
        </w:tblPrEx>
        <w:trPr>
          <w:trHeight w:val="90" w:hRule="atLeast"/>
        </w:trPr>
        <w:tc>
          <w:tcPr>
            <w:tcW w:w="14120" w:type="dxa"/>
            <w:gridSpan w:val="14"/>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 xml:space="preserve"> </w:t>
            </w:r>
            <w:r>
              <w:rPr>
                <w:rFonts w:hint="eastAsia" w:ascii="宋体" w:hAnsi="宋体" w:eastAsia="宋体" w:cs="宋体"/>
                <w:b/>
                <w:i w:val="0"/>
                <w:color w:val="000000"/>
                <w:kern w:val="0"/>
                <w:sz w:val="30"/>
                <w:szCs w:val="30"/>
                <w:u w:val="none"/>
                <w:lang w:val="en-US" w:eastAsia="zh-CN" w:bidi="ar"/>
              </w:rPr>
              <w:t>附</w:t>
            </w:r>
            <w:r>
              <w:rPr>
                <w:rFonts w:hint="eastAsia" w:cs="宋体"/>
                <w:b/>
                <w:i w:val="0"/>
                <w:color w:val="000000"/>
                <w:kern w:val="0"/>
                <w:sz w:val="30"/>
                <w:szCs w:val="30"/>
                <w:u w:val="none"/>
                <w:lang w:val="en-US" w:eastAsia="zh-CN" w:bidi="ar"/>
              </w:rPr>
              <w:t>表</w:t>
            </w:r>
            <w:r>
              <w:rPr>
                <w:rFonts w:hint="eastAsia" w:ascii="宋体" w:hAnsi="宋体" w:eastAsia="宋体" w:cs="宋体"/>
                <w:b/>
                <w:i w:val="0"/>
                <w:color w:val="000000"/>
                <w:kern w:val="0"/>
                <w:sz w:val="30"/>
                <w:szCs w:val="30"/>
                <w:u w:val="none"/>
                <w:lang w:val="en-US" w:eastAsia="zh-CN" w:bidi="ar"/>
              </w:rPr>
              <w:t xml:space="preserve">1.3.1：             </w:t>
            </w:r>
            <w:r>
              <w:rPr>
                <w:rFonts w:hint="eastAsia" w:cs="宋体"/>
                <w:b/>
                <w:i w:val="0"/>
                <w:color w:val="000000"/>
                <w:kern w:val="0"/>
                <w:sz w:val="30"/>
                <w:szCs w:val="30"/>
                <w:u w:val="none"/>
                <w:lang w:val="en-US" w:eastAsia="zh-CN" w:bidi="ar"/>
              </w:rPr>
              <w:t xml:space="preserve"> </w:t>
            </w:r>
            <w:r>
              <w:rPr>
                <w:rFonts w:hint="eastAsia" w:ascii="宋体" w:hAnsi="宋体" w:eastAsia="宋体" w:cs="宋体"/>
                <w:b/>
                <w:i w:val="0"/>
                <w:color w:val="000000"/>
                <w:kern w:val="0"/>
                <w:sz w:val="30"/>
                <w:szCs w:val="30"/>
                <w:u w:val="none"/>
                <w:lang w:val="en-US" w:eastAsia="zh-CN" w:bidi="ar"/>
              </w:rPr>
              <w:t>工程造价咨询企业信用社会评价意见汇总表</w:t>
            </w:r>
          </w:p>
        </w:tc>
      </w:tr>
      <w:tr>
        <w:tblPrEx>
          <w:shd w:val="clear" w:color="auto" w:fill="auto"/>
          <w:tblCellMar>
            <w:top w:w="0" w:type="dxa"/>
            <w:left w:w="0" w:type="dxa"/>
            <w:bottom w:w="0" w:type="dxa"/>
            <w:right w:w="0" w:type="dxa"/>
          </w:tblCellMar>
        </w:tblPrEx>
        <w:trPr>
          <w:trHeight w:val="768" w:hRule="atLeast"/>
        </w:trPr>
        <w:tc>
          <w:tcPr>
            <w:tcW w:w="568" w:type="dxa"/>
            <w:vMerge w:val="restart"/>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序号</w:t>
            </w:r>
          </w:p>
        </w:tc>
        <w:tc>
          <w:tcPr>
            <w:tcW w:w="1150" w:type="dxa"/>
            <w:vMerge w:val="restar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造价咨询项目名称</w:t>
            </w:r>
          </w:p>
        </w:tc>
        <w:tc>
          <w:tcPr>
            <w:tcW w:w="1217" w:type="dxa"/>
            <w:vMerge w:val="restar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造价咨询项目业主单位名称</w:t>
            </w:r>
          </w:p>
        </w:tc>
        <w:tc>
          <w:tcPr>
            <w:tcW w:w="1042"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造价咨询         工作计划</w:t>
            </w:r>
          </w:p>
        </w:tc>
        <w:tc>
          <w:tcPr>
            <w:tcW w:w="951"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服务态度   专业水平</w:t>
            </w:r>
          </w:p>
        </w:tc>
        <w:tc>
          <w:tcPr>
            <w:tcW w:w="905" w:type="dxa"/>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成果质量</w:t>
            </w:r>
          </w:p>
        </w:tc>
        <w:tc>
          <w:tcPr>
            <w:tcW w:w="1019"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执行工作      程序制度</w:t>
            </w:r>
          </w:p>
        </w:tc>
        <w:tc>
          <w:tcPr>
            <w:tcW w:w="1067"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合同履行情况</w:t>
            </w:r>
          </w:p>
        </w:tc>
        <w:tc>
          <w:tcPr>
            <w:tcW w:w="1054"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咨询达到         实际目标</w:t>
            </w:r>
          </w:p>
        </w:tc>
        <w:tc>
          <w:tcPr>
            <w:tcW w:w="1033"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机构设置             人员配备</w:t>
            </w:r>
          </w:p>
        </w:tc>
        <w:tc>
          <w:tcPr>
            <w:tcW w:w="1031"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咨询工作进度</w:t>
            </w:r>
          </w:p>
        </w:tc>
        <w:tc>
          <w:tcPr>
            <w:tcW w:w="927"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职业道德                 廉洁自律</w:t>
            </w:r>
          </w:p>
        </w:tc>
        <w:tc>
          <w:tcPr>
            <w:tcW w:w="1033"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服务收费           是否合理</w:t>
            </w:r>
          </w:p>
        </w:tc>
        <w:tc>
          <w:tcPr>
            <w:tcW w:w="1123" w:type="dxa"/>
            <w:tcBorders>
              <w:top w:val="single" w:color="000000" w:sz="8"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社会评价</w:t>
            </w:r>
          </w:p>
        </w:tc>
      </w:tr>
      <w:tr>
        <w:tblPrEx>
          <w:shd w:val="clear" w:color="auto" w:fill="auto"/>
          <w:tblCellMar>
            <w:top w:w="0" w:type="dxa"/>
            <w:left w:w="0" w:type="dxa"/>
            <w:bottom w:w="0" w:type="dxa"/>
            <w:right w:w="0" w:type="dxa"/>
          </w:tblCellMar>
        </w:tblPrEx>
        <w:trPr>
          <w:trHeight w:val="1506" w:hRule="atLeast"/>
        </w:trPr>
        <w:tc>
          <w:tcPr>
            <w:tcW w:w="568" w:type="dxa"/>
            <w:vMerge w:val="continue"/>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50" w:type="dxa"/>
            <w:vMerge w:val="continue"/>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217" w:type="dxa"/>
            <w:vMerge w:val="continue"/>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（优良5-4、一般3-2、较差1-0）            5分</w:t>
            </w:r>
          </w:p>
        </w:tc>
        <w:tc>
          <w:tcPr>
            <w:tcW w:w="9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（优良15-11、一般10-6、  较差5-0）            15分</w:t>
            </w:r>
          </w:p>
        </w:tc>
        <w:tc>
          <w:tcPr>
            <w:tcW w:w="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（优良15-11、一般10-6、  较差5-0）            15分</w:t>
            </w:r>
          </w:p>
        </w:tc>
        <w:tc>
          <w:tcPr>
            <w:tcW w:w="10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（优良5-4、一般3-2、较差1-0）            5分</w:t>
            </w:r>
          </w:p>
        </w:tc>
        <w:tc>
          <w:tcPr>
            <w:tcW w:w="10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（优良10-6、一般5-3、  较差2-0）            10分</w:t>
            </w:r>
          </w:p>
        </w:tc>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（满意10-6、一般5-3、不满意2-0）              10分</w:t>
            </w:r>
          </w:p>
        </w:tc>
        <w:tc>
          <w:tcPr>
            <w:tcW w:w="1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（满意10-6、一般5-3、不满意2-0）              10分</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（满意5-4、一般3-2、不满意1-0）                5分</w:t>
            </w:r>
          </w:p>
        </w:tc>
        <w:tc>
          <w:tcPr>
            <w:tcW w:w="9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（优良20-11、一般10-6、较差5-0）            20分</w:t>
            </w:r>
          </w:p>
        </w:tc>
        <w:tc>
          <w:tcPr>
            <w:tcW w:w="10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（规范5-4、 合理3-2、压价1-0）            5分</w:t>
            </w:r>
          </w:p>
        </w:tc>
        <w:tc>
          <w:tcPr>
            <w:tcW w:w="1123"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合计得分</w:t>
            </w:r>
          </w:p>
        </w:tc>
      </w:tr>
      <w:tr>
        <w:tblPrEx>
          <w:tblCellMar>
            <w:top w:w="0" w:type="dxa"/>
            <w:left w:w="0" w:type="dxa"/>
            <w:bottom w:w="0" w:type="dxa"/>
            <w:right w:w="0" w:type="dxa"/>
          </w:tblCellMar>
        </w:tblPrEx>
        <w:trPr>
          <w:trHeight w:val="569" w:hRule="atLeast"/>
        </w:trPr>
        <w:tc>
          <w:tcPr>
            <w:tcW w:w="568"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Arial Unicode MS" w:hAnsi="Arial Unicode MS" w:eastAsia="Arial Unicode MS" w:cs="Arial Unicode MS"/>
                <w:i w:val="0"/>
                <w:color w:val="000000"/>
                <w:sz w:val="20"/>
                <w:szCs w:val="20"/>
                <w:u w:val="none"/>
              </w:rPr>
            </w:pPr>
            <w:r>
              <w:rPr>
                <w:rFonts w:hint="default" w:ascii="Arial Unicode MS" w:hAnsi="Arial Unicode MS" w:eastAsia="Arial Unicode MS" w:cs="Arial Unicode MS"/>
                <w:i w:val="0"/>
                <w:color w:val="000000"/>
                <w:kern w:val="0"/>
                <w:sz w:val="20"/>
                <w:szCs w:val="20"/>
                <w:u w:val="none"/>
                <w:lang w:val="en-US" w:eastAsia="zh-CN" w:bidi="ar"/>
              </w:rPr>
              <w:t>1</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23"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569" w:hRule="atLeast"/>
        </w:trPr>
        <w:tc>
          <w:tcPr>
            <w:tcW w:w="568"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Unicode MS" w:hAnsi="Arial Unicode MS" w:eastAsia="Arial Unicode MS" w:cs="Arial Unicode MS"/>
                <w:i w:val="0"/>
                <w:color w:val="000000"/>
                <w:sz w:val="20"/>
                <w:szCs w:val="20"/>
                <w:u w:val="none"/>
              </w:rPr>
            </w:pPr>
            <w:r>
              <w:rPr>
                <w:rFonts w:hint="default" w:ascii="Arial Unicode MS" w:hAnsi="Arial Unicode MS" w:eastAsia="Arial Unicode MS" w:cs="Arial Unicode MS"/>
                <w:i w:val="0"/>
                <w:color w:val="000000"/>
                <w:kern w:val="0"/>
                <w:sz w:val="20"/>
                <w:szCs w:val="20"/>
                <w:u w:val="none"/>
                <w:lang w:val="en-US" w:eastAsia="zh-CN" w:bidi="ar"/>
              </w:rPr>
              <w:t>2</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23"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569" w:hRule="atLeast"/>
        </w:trPr>
        <w:tc>
          <w:tcPr>
            <w:tcW w:w="568"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Unicode MS" w:hAnsi="Arial Unicode MS" w:eastAsia="Arial Unicode MS" w:cs="Arial Unicode MS"/>
                <w:i w:val="0"/>
                <w:color w:val="000000"/>
                <w:sz w:val="20"/>
                <w:szCs w:val="20"/>
                <w:u w:val="none"/>
              </w:rPr>
            </w:pPr>
            <w:r>
              <w:rPr>
                <w:rFonts w:hint="default" w:ascii="Arial Unicode MS" w:hAnsi="Arial Unicode MS" w:eastAsia="Arial Unicode MS" w:cs="Arial Unicode MS"/>
                <w:i w:val="0"/>
                <w:color w:val="000000"/>
                <w:kern w:val="0"/>
                <w:sz w:val="20"/>
                <w:szCs w:val="20"/>
                <w:u w:val="none"/>
                <w:lang w:val="en-US" w:eastAsia="zh-CN" w:bidi="ar"/>
              </w:rPr>
              <w:t>3</w:t>
            </w:r>
          </w:p>
        </w:tc>
        <w:tc>
          <w:tcPr>
            <w:tcW w:w="11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default" w:ascii="Arial Unicode MS" w:hAnsi="Arial Unicode MS" w:eastAsia="Arial Unicode MS" w:cs="Arial Unicode MS"/>
                <w:i w:val="0"/>
                <w:color w:val="000000"/>
                <w:sz w:val="20"/>
                <w:szCs w:val="20"/>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default" w:ascii="Arial Unicode MS" w:hAnsi="Arial Unicode MS" w:eastAsia="Arial Unicode MS" w:cs="Arial Unicode MS"/>
                <w:i w:val="0"/>
                <w:color w:val="000000"/>
                <w:sz w:val="20"/>
                <w:szCs w:val="20"/>
                <w:u w:val="none"/>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r>
      <w:tr>
        <w:tblPrEx>
          <w:shd w:val="clear" w:color="auto" w:fill="auto"/>
          <w:tblCellMar>
            <w:top w:w="0" w:type="dxa"/>
            <w:left w:w="0" w:type="dxa"/>
            <w:bottom w:w="0" w:type="dxa"/>
            <w:right w:w="0" w:type="dxa"/>
          </w:tblCellMar>
        </w:tblPrEx>
        <w:trPr>
          <w:trHeight w:val="569" w:hRule="atLeast"/>
        </w:trPr>
        <w:tc>
          <w:tcPr>
            <w:tcW w:w="2935" w:type="dxa"/>
            <w:gridSpan w:val="3"/>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Arial Unicode MS" w:hAnsi="Arial Unicode MS" w:eastAsia="Arial Unicode MS" w:cs="Arial Unicode MS"/>
                <w:i w:val="0"/>
                <w:color w:val="000000"/>
                <w:sz w:val="24"/>
                <w:szCs w:val="24"/>
                <w:u w:val="none"/>
              </w:rPr>
            </w:pPr>
            <w:r>
              <w:rPr>
                <w:rFonts w:hint="default" w:ascii="Arial Unicode MS" w:hAnsi="Arial Unicode MS" w:eastAsia="Arial Unicode MS" w:cs="Arial Unicode MS"/>
                <w:i w:val="0"/>
                <w:color w:val="000000"/>
                <w:kern w:val="0"/>
                <w:sz w:val="24"/>
                <w:szCs w:val="24"/>
                <w:u w:val="none"/>
                <w:lang w:val="en-US" w:eastAsia="zh-CN" w:bidi="ar"/>
              </w:rPr>
              <w:t>合计得分</w:t>
            </w:r>
          </w:p>
        </w:tc>
        <w:tc>
          <w:tcPr>
            <w:tcW w:w="10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r>
      <w:tr>
        <w:tblPrEx>
          <w:shd w:val="clear" w:color="auto" w:fill="auto"/>
          <w:tblCellMar>
            <w:top w:w="0" w:type="dxa"/>
            <w:left w:w="0" w:type="dxa"/>
            <w:bottom w:w="0" w:type="dxa"/>
            <w:right w:w="0" w:type="dxa"/>
          </w:tblCellMar>
        </w:tblPrEx>
        <w:trPr>
          <w:trHeight w:val="1032" w:hRule="atLeast"/>
        </w:trPr>
        <w:tc>
          <w:tcPr>
            <w:tcW w:w="2935" w:type="dxa"/>
            <w:gridSpan w:val="3"/>
            <w:tcBorders>
              <w:top w:val="single" w:color="000000" w:sz="4" w:space="0"/>
              <w:left w:val="single" w:color="000000" w:sz="8"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平均得分 = 合计得分/3</w:t>
            </w:r>
          </w:p>
        </w:tc>
        <w:tc>
          <w:tcPr>
            <w:tcW w:w="1042"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951"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905"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19"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67"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54"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33"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31"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927"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033"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1123" w:type="dxa"/>
            <w:tcBorders>
              <w:top w:val="single" w:color="000000" w:sz="4" w:space="0"/>
              <w:left w:val="single" w:color="000000" w:sz="4" w:space="0"/>
              <w:bottom w:val="nil"/>
              <w:right w:val="single" w:color="000000" w:sz="8"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（注：本表最终得分）</w:t>
            </w:r>
          </w:p>
        </w:tc>
      </w:tr>
      <w:tr>
        <w:tblPrEx>
          <w:shd w:val="clear" w:color="auto" w:fill="auto"/>
          <w:tblCellMar>
            <w:top w:w="0" w:type="dxa"/>
            <w:left w:w="0" w:type="dxa"/>
            <w:bottom w:w="0" w:type="dxa"/>
            <w:right w:w="0" w:type="dxa"/>
          </w:tblCellMar>
        </w:tblPrEx>
        <w:trPr>
          <w:trHeight w:val="981" w:hRule="atLeast"/>
        </w:trPr>
        <w:tc>
          <w:tcPr>
            <w:tcW w:w="293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企业信用社会评价意见</w:t>
            </w:r>
          </w:p>
        </w:tc>
        <w:tc>
          <w:tcPr>
            <w:tcW w:w="1118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1、被评价企业的三个项目经业主单位评价结果是合计得分_________,                                                               2、本表最终得分与附件1中3.1“社会评价”项分值限额3分进行折算计分，被评价企业社会评价得分为__________，计入附件1中3.1“社会评价”项。</w:t>
            </w:r>
          </w:p>
        </w:tc>
      </w:tr>
    </w:tbl>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备注：</w:t>
      </w:r>
    </w:p>
    <w:p>
      <w:pPr>
        <w:numPr>
          <w:ilvl w:val="0"/>
          <w:numId w:val="3"/>
        </w:numPr>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省级评价机构随机抽取三个1000万元以上项目，至少两个政府项目，且至少两个结算审核项目进行客户评价调查</w:t>
      </w:r>
      <w:r>
        <w:rPr>
          <w:rFonts w:hint="eastAsia" w:asciiTheme="minorEastAsia" w:hAnsiTheme="minorEastAsia" w:eastAsiaTheme="minorEastAsia" w:cstheme="minorEastAsia"/>
          <w:sz w:val="21"/>
          <w:szCs w:val="21"/>
          <w:lang w:val="en-US" w:eastAsia="zh-CN"/>
        </w:rPr>
        <w:t>；</w:t>
      </w:r>
    </w:p>
    <w:p>
      <w:pPr>
        <w:numPr>
          <w:ilvl w:val="0"/>
          <w:numId w:val="3"/>
        </w:numPr>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本表适用企业（法人），也使用企业的分支机构。</w:t>
      </w:r>
    </w:p>
    <w:tbl>
      <w:tblPr>
        <w:tblStyle w:val="6"/>
        <w:tblpPr w:leftFromText="180" w:rightFromText="180" w:vertAnchor="text" w:horzAnchor="page" w:tblpX="1446" w:tblpY="183"/>
        <w:tblOverlap w:val="never"/>
        <w:tblW w:w="14120" w:type="dxa"/>
        <w:tblInd w:w="0" w:type="dxa"/>
        <w:shd w:val="clear" w:color="auto" w:fill="auto"/>
        <w:tblLayout w:type="fixed"/>
        <w:tblCellMar>
          <w:top w:w="0" w:type="dxa"/>
          <w:left w:w="0" w:type="dxa"/>
          <w:bottom w:w="0" w:type="dxa"/>
          <w:right w:w="0" w:type="dxa"/>
        </w:tblCellMar>
      </w:tblPr>
      <w:tblGrid>
        <w:gridCol w:w="997"/>
        <w:gridCol w:w="831"/>
        <w:gridCol w:w="1164"/>
        <w:gridCol w:w="3092"/>
        <w:gridCol w:w="865"/>
        <w:gridCol w:w="643"/>
        <w:gridCol w:w="644"/>
        <w:gridCol w:w="543"/>
        <w:gridCol w:w="498"/>
        <w:gridCol w:w="2571"/>
        <w:gridCol w:w="2272"/>
      </w:tblGrid>
      <w:tr>
        <w:tblPrEx>
          <w:shd w:val="clear" w:color="auto" w:fill="auto"/>
          <w:tblCellMar>
            <w:top w:w="0" w:type="dxa"/>
            <w:left w:w="0" w:type="dxa"/>
            <w:bottom w:w="0" w:type="dxa"/>
            <w:right w:w="0" w:type="dxa"/>
          </w:tblCellMar>
        </w:tblPrEx>
        <w:trPr>
          <w:trHeight w:val="767" w:hRule="atLeast"/>
        </w:trPr>
        <w:tc>
          <w:tcPr>
            <w:tcW w:w="14120" w:type="dxa"/>
            <w:gridSpan w:val="11"/>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 xml:space="preserve"> </w:t>
            </w:r>
            <w:r>
              <w:rPr>
                <w:rFonts w:hint="eastAsia" w:ascii="宋体" w:hAnsi="宋体" w:eastAsia="宋体" w:cs="宋体"/>
                <w:b/>
                <w:i w:val="0"/>
                <w:color w:val="000000"/>
                <w:kern w:val="0"/>
                <w:sz w:val="30"/>
                <w:szCs w:val="30"/>
                <w:u w:val="none"/>
                <w:lang w:val="en-US" w:eastAsia="zh-CN" w:bidi="ar"/>
              </w:rPr>
              <w:t>附</w:t>
            </w:r>
            <w:r>
              <w:rPr>
                <w:rFonts w:hint="eastAsia" w:cs="宋体"/>
                <w:b/>
                <w:i w:val="0"/>
                <w:color w:val="000000"/>
                <w:kern w:val="0"/>
                <w:sz w:val="30"/>
                <w:szCs w:val="30"/>
                <w:u w:val="none"/>
                <w:lang w:val="en-US" w:eastAsia="zh-CN" w:bidi="ar"/>
              </w:rPr>
              <w:t>表</w:t>
            </w:r>
            <w:r>
              <w:rPr>
                <w:rFonts w:hint="eastAsia" w:ascii="宋体" w:hAnsi="宋体" w:eastAsia="宋体" w:cs="宋体"/>
                <w:b/>
                <w:i w:val="0"/>
                <w:color w:val="000000"/>
                <w:kern w:val="0"/>
                <w:sz w:val="30"/>
                <w:szCs w:val="30"/>
                <w:u w:val="none"/>
                <w:lang w:val="en-US" w:eastAsia="zh-CN" w:bidi="ar"/>
              </w:rPr>
              <w:t xml:space="preserve">1.3.2：              </w:t>
            </w:r>
            <w:r>
              <w:rPr>
                <w:rFonts w:hint="eastAsia" w:cs="宋体"/>
                <w:b/>
                <w:i w:val="0"/>
                <w:color w:val="000000"/>
                <w:kern w:val="0"/>
                <w:sz w:val="30"/>
                <w:szCs w:val="30"/>
                <w:u w:val="none"/>
                <w:lang w:val="en-US" w:eastAsia="zh-CN" w:bidi="ar"/>
              </w:rPr>
              <w:t xml:space="preserve"> </w:t>
            </w:r>
            <w:r>
              <w:rPr>
                <w:rFonts w:hint="eastAsia" w:ascii="宋体" w:hAnsi="宋体" w:eastAsia="宋体" w:cs="宋体"/>
                <w:b/>
                <w:i w:val="0"/>
                <w:color w:val="000000"/>
                <w:kern w:val="0"/>
                <w:sz w:val="30"/>
                <w:szCs w:val="30"/>
                <w:u w:val="none"/>
                <w:lang w:val="en-US" w:eastAsia="zh-CN" w:bidi="ar"/>
              </w:rPr>
              <w:t>造价咨询企业业务流程管理评价参考用表</w:t>
            </w:r>
          </w:p>
        </w:tc>
      </w:tr>
      <w:tr>
        <w:tblPrEx>
          <w:shd w:val="clear" w:color="auto" w:fill="auto"/>
          <w:tblCellMar>
            <w:top w:w="0" w:type="dxa"/>
            <w:left w:w="0" w:type="dxa"/>
            <w:bottom w:w="0" w:type="dxa"/>
            <w:right w:w="0" w:type="dxa"/>
          </w:tblCellMar>
        </w:tblPrEx>
        <w:trPr>
          <w:trHeight w:val="736" w:hRule="atLeast"/>
        </w:trPr>
        <w:tc>
          <w:tcPr>
            <w:tcW w:w="997" w:type="dxa"/>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831"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1164"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三级指标(X)</w:t>
            </w:r>
          </w:p>
        </w:tc>
        <w:tc>
          <w:tcPr>
            <w:tcW w:w="3092"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评价标准</w:t>
            </w:r>
          </w:p>
        </w:tc>
        <w:tc>
          <w:tcPr>
            <w:tcW w:w="865"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计算公式</w:t>
            </w:r>
          </w:p>
        </w:tc>
        <w:tc>
          <w:tcPr>
            <w:tcW w:w="643"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限额</w:t>
            </w:r>
          </w:p>
        </w:tc>
        <w:tc>
          <w:tcPr>
            <w:tcW w:w="644"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543"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扣分限额</w:t>
            </w:r>
          </w:p>
        </w:tc>
        <w:tc>
          <w:tcPr>
            <w:tcW w:w="498"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扣分</w:t>
            </w:r>
          </w:p>
        </w:tc>
        <w:tc>
          <w:tcPr>
            <w:tcW w:w="2571"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说明</w:t>
            </w:r>
          </w:p>
        </w:tc>
        <w:tc>
          <w:tcPr>
            <w:tcW w:w="2272" w:type="dxa"/>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数据来源</w:t>
            </w:r>
          </w:p>
        </w:tc>
      </w:tr>
      <w:tr>
        <w:tblPrEx>
          <w:shd w:val="clear" w:color="auto" w:fill="auto"/>
          <w:tblCellMar>
            <w:top w:w="0" w:type="dxa"/>
            <w:left w:w="0" w:type="dxa"/>
            <w:bottom w:w="0" w:type="dxa"/>
            <w:right w:w="0" w:type="dxa"/>
          </w:tblCellMar>
        </w:tblPrEx>
        <w:trPr>
          <w:trHeight w:val="1014" w:hRule="atLeast"/>
        </w:trPr>
        <w:tc>
          <w:tcPr>
            <w:tcW w:w="99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3.各地自主评分或自定义评分项</w:t>
            </w:r>
          </w:p>
        </w:tc>
        <w:tc>
          <w:tcPr>
            <w:tcW w:w="83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成果质量</w:t>
            </w:r>
          </w:p>
        </w:tc>
        <w:tc>
          <w:tcPr>
            <w:tcW w:w="116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3.2.1</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造价咨询业务流程管理</w:t>
            </w:r>
          </w:p>
        </w:tc>
        <w:tc>
          <w:tcPr>
            <w:tcW w:w="30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抽检项目有咨询方案或作业计划书，咨询方案内容完整、可行且有针对性的每个项目加0.5分</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完整是指咨询范围、内容、方法、程序、人员安排、时间要求、质量要求等齐全</w:t>
            </w:r>
          </w:p>
        </w:tc>
        <w:tc>
          <w:tcPr>
            <w:tcW w:w="22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由省级评价机构随机抽取评价期内每年1个政府投资项目，原则上项目规模1000万元以上，项目类型包括土建、安装、装饰、市政等至少两种，咨询类型包括结算审核、工程量清单及招标控制价编制等。如全部项目都不满足上述条件，由抽取机构自行调整并作说明</w:t>
            </w:r>
          </w:p>
        </w:tc>
      </w:tr>
      <w:tr>
        <w:tblPrEx>
          <w:shd w:val="clear" w:color="auto" w:fill="auto"/>
          <w:tblCellMar>
            <w:top w:w="0" w:type="dxa"/>
            <w:left w:w="0" w:type="dxa"/>
            <w:bottom w:w="0" w:type="dxa"/>
            <w:right w:w="0" w:type="dxa"/>
          </w:tblCellMar>
        </w:tblPrEx>
        <w:trPr>
          <w:trHeight w:val="1014" w:hRule="atLeast"/>
        </w:trPr>
        <w:tc>
          <w:tcPr>
            <w:tcW w:w="9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没有三级复核流程单每个项目扣3分，流程单上签章或日期不全、对应关系不正确的每处扣0.5分</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4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“X”指填写详实的审核意见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三级审核意见不详是指意见适用于所有项目，没有对本项目具体问题的针对性处理过程或方法</w:t>
            </w: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478" w:hRule="atLeast"/>
        </w:trPr>
        <w:tc>
          <w:tcPr>
            <w:tcW w:w="9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流程单流于形式，三级审核意见不详细或没有针对性的每处减0.2分；项目负责人复核意见和技术负责人审核意见填写详实的，每处加0.25分。</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0.25*X</w:t>
            </w: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4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478" w:hRule="atLeast"/>
        </w:trPr>
        <w:tc>
          <w:tcPr>
            <w:tcW w:w="9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6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0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三级复核的底稿齐全，问题处理有迹可循的，每个项目加0.5分</w:t>
            </w:r>
          </w:p>
        </w:tc>
        <w:tc>
          <w:tcPr>
            <w:tcW w:w="8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0.5*X</w:t>
            </w: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需要计算的工程量有计算底稿、新增单价有组价过程、需要定价的材料有询价定价记录、重大问题处理有会审纪要等</w:t>
            </w:r>
          </w:p>
        </w:tc>
        <w:tc>
          <w:tcPr>
            <w:tcW w:w="2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519" w:hRule="atLeast"/>
        </w:trPr>
        <w:tc>
          <w:tcPr>
            <w:tcW w:w="694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    计</w:t>
            </w: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4</w:t>
            </w:r>
          </w:p>
        </w:tc>
        <w:tc>
          <w:tcPr>
            <w:tcW w:w="6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FF0000"/>
                <w:sz w:val="22"/>
                <w:szCs w:val="22"/>
                <w:u w:val="none"/>
              </w:rPr>
            </w:pPr>
          </w:p>
        </w:tc>
        <w:tc>
          <w:tcPr>
            <w:tcW w:w="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4</w:t>
            </w:r>
          </w:p>
        </w:tc>
        <w:tc>
          <w:tcPr>
            <w:tcW w:w="4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b/>
                <w:i w:val="0"/>
                <w:color w:val="FF0000"/>
                <w:sz w:val="22"/>
                <w:szCs w:val="22"/>
                <w:u w:val="none"/>
              </w:rPr>
            </w:pPr>
          </w:p>
        </w:tc>
        <w:tc>
          <w:tcPr>
            <w:tcW w:w="2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2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bidi w:val="0"/>
        <w:jc w:val="left"/>
        <w:rPr>
          <w:rFonts w:hint="default" w:ascii="宋体" w:hAnsi="宋体" w:eastAsia="宋体" w:cs="宋体"/>
          <w:sz w:val="22"/>
          <w:szCs w:val="22"/>
          <w:lang w:val="en-US" w:eastAsia="zh-CN" w:bidi="zh-CN"/>
        </w:rPr>
      </w:pPr>
      <w:r>
        <w:rPr>
          <w:rFonts w:hint="default" w:ascii="宋体" w:hAnsi="宋体" w:eastAsia="宋体" w:cs="宋体"/>
          <w:sz w:val="22"/>
          <w:szCs w:val="22"/>
          <w:lang w:val="en-US" w:eastAsia="zh-CN" w:bidi="zh-CN"/>
        </w:rPr>
        <w:t>备注：</w:t>
      </w:r>
    </w:p>
    <w:p>
      <w:pPr>
        <w:numPr>
          <w:ilvl w:val="0"/>
          <w:numId w:val="4"/>
        </w:numPr>
        <w:bidi w:val="0"/>
        <w:jc w:val="left"/>
        <w:rPr>
          <w:rFonts w:hint="default" w:ascii="宋体" w:hAnsi="宋体" w:eastAsia="宋体" w:cs="宋体"/>
          <w:sz w:val="22"/>
          <w:szCs w:val="22"/>
          <w:lang w:val="en-US" w:eastAsia="zh-CN" w:bidi="zh-CN"/>
        </w:rPr>
      </w:pPr>
      <w:r>
        <w:rPr>
          <w:rFonts w:hint="default" w:ascii="宋体" w:hAnsi="宋体" w:eastAsia="宋体" w:cs="宋体"/>
          <w:sz w:val="22"/>
          <w:szCs w:val="22"/>
          <w:lang w:val="en-US" w:eastAsia="zh-CN" w:bidi="zh-CN"/>
        </w:rPr>
        <w:t>本表评份标准适用于企业信用评价造价咨询业务流程管理评价；</w:t>
      </w:r>
    </w:p>
    <w:p>
      <w:pPr>
        <w:widowControl w:val="0"/>
        <w:numPr>
          <w:ilvl w:val="0"/>
          <w:numId w:val="4"/>
        </w:numPr>
        <w:autoSpaceDE w:val="0"/>
        <w:autoSpaceDN w:val="0"/>
        <w:bidi w:val="0"/>
        <w:spacing w:before="0" w:after="0" w:line="240" w:lineRule="auto"/>
        <w:ind w:left="0" w:leftChars="0" w:right="0" w:rightChars="0" w:firstLine="0" w:firstLineChars="0"/>
        <w:jc w:val="left"/>
        <w:rPr>
          <w:rFonts w:hint="default" w:ascii="宋体" w:hAnsi="宋体" w:eastAsia="宋体" w:cs="宋体"/>
          <w:sz w:val="22"/>
          <w:szCs w:val="22"/>
          <w:lang w:val="en-US" w:eastAsia="zh-CN" w:bidi="zh-CN"/>
        </w:rPr>
      </w:pPr>
      <w:r>
        <w:rPr>
          <w:rFonts w:hint="default" w:ascii="宋体" w:hAnsi="宋体" w:eastAsia="宋体" w:cs="宋体"/>
          <w:sz w:val="22"/>
          <w:szCs w:val="22"/>
          <w:lang w:val="en-US" w:eastAsia="zh-CN" w:bidi="zh-CN"/>
        </w:rPr>
        <w:t>本表得分纳入附件1中3.2.1“造价咨询业务流程管理”项，与该项中的限额分值进行折算计分。</w:t>
      </w:r>
    </w:p>
    <w:p>
      <w:pPr>
        <w:widowControl w:val="0"/>
        <w:numPr>
          <w:ilvl w:val="0"/>
          <w:numId w:val="0"/>
        </w:numPr>
        <w:autoSpaceDE w:val="0"/>
        <w:autoSpaceDN w:val="0"/>
        <w:bidi w:val="0"/>
        <w:spacing w:before="0" w:after="0" w:line="240" w:lineRule="auto"/>
        <w:ind w:right="0" w:rightChars="0"/>
        <w:jc w:val="left"/>
        <w:rPr>
          <w:rFonts w:hint="default" w:ascii="宋体" w:hAnsi="宋体" w:eastAsia="宋体" w:cs="宋体"/>
          <w:sz w:val="22"/>
          <w:szCs w:val="22"/>
          <w:lang w:val="en-US" w:eastAsia="zh-CN" w:bidi="zh-CN"/>
        </w:rPr>
      </w:pPr>
    </w:p>
    <w:tbl>
      <w:tblPr>
        <w:tblStyle w:val="6"/>
        <w:tblpPr w:leftFromText="180" w:rightFromText="180" w:vertAnchor="text" w:horzAnchor="page" w:tblpX="1424" w:tblpY="55"/>
        <w:tblOverlap w:val="never"/>
        <w:tblW w:w="14180" w:type="dxa"/>
        <w:tblInd w:w="0" w:type="dxa"/>
        <w:shd w:val="clear" w:color="auto" w:fill="auto"/>
        <w:tblLayout w:type="fixed"/>
        <w:tblCellMar>
          <w:top w:w="0" w:type="dxa"/>
          <w:left w:w="0" w:type="dxa"/>
          <w:bottom w:w="0" w:type="dxa"/>
          <w:right w:w="0" w:type="dxa"/>
        </w:tblCellMar>
      </w:tblPr>
      <w:tblGrid>
        <w:gridCol w:w="920"/>
        <w:gridCol w:w="920"/>
        <w:gridCol w:w="1350"/>
        <w:gridCol w:w="4246"/>
        <w:gridCol w:w="569"/>
        <w:gridCol w:w="576"/>
        <w:gridCol w:w="569"/>
        <w:gridCol w:w="591"/>
        <w:gridCol w:w="581"/>
        <w:gridCol w:w="1708"/>
        <w:gridCol w:w="2150"/>
      </w:tblGrid>
      <w:tr>
        <w:tblPrEx>
          <w:shd w:val="clear" w:color="auto" w:fill="auto"/>
          <w:tblCellMar>
            <w:top w:w="0" w:type="dxa"/>
            <w:left w:w="0" w:type="dxa"/>
            <w:bottom w:w="0" w:type="dxa"/>
            <w:right w:w="0" w:type="dxa"/>
          </w:tblCellMar>
        </w:tblPrEx>
        <w:trPr>
          <w:trHeight w:val="90" w:hRule="atLeast"/>
        </w:trPr>
        <w:tc>
          <w:tcPr>
            <w:tcW w:w="14180" w:type="dxa"/>
            <w:gridSpan w:val="11"/>
            <w:tcBorders>
              <w:top w:val="nil"/>
              <w:left w:val="nil"/>
              <w:bottom w:val="single" w:color="000000" w:sz="8" w:space="0"/>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 xml:space="preserve"> </w:t>
            </w:r>
            <w:r>
              <w:rPr>
                <w:rFonts w:hint="eastAsia" w:ascii="宋体" w:hAnsi="宋体" w:eastAsia="宋体" w:cs="宋体"/>
                <w:b/>
                <w:i w:val="0"/>
                <w:color w:val="000000"/>
                <w:kern w:val="0"/>
                <w:sz w:val="30"/>
                <w:szCs w:val="30"/>
                <w:u w:val="none"/>
                <w:lang w:val="en-US" w:eastAsia="zh-CN" w:bidi="ar"/>
              </w:rPr>
              <w:t xml:space="preserve">附表1.3.3：           </w:t>
            </w:r>
            <w:r>
              <w:rPr>
                <w:rFonts w:hint="eastAsia" w:cs="宋体"/>
                <w:b/>
                <w:i w:val="0"/>
                <w:color w:val="000000"/>
                <w:kern w:val="0"/>
                <w:sz w:val="30"/>
                <w:szCs w:val="30"/>
                <w:u w:val="none"/>
                <w:lang w:val="en-US" w:eastAsia="zh-CN" w:bidi="ar"/>
              </w:rPr>
              <w:t xml:space="preserve"> </w:t>
            </w:r>
            <w:r>
              <w:rPr>
                <w:rFonts w:hint="eastAsia" w:ascii="宋体" w:hAnsi="宋体" w:eastAsia="宋体" w:cs="宋体"/>
                <w:b/>
                <w:i w:val="0"/>
                <w:color w:val="000000"/>
                <w:kern w:val="0"/>
                <w:sz w:val="30"/>
                <w:szCs w:val="30"/>
                <w:u w:val="none"/>
                <w:lang w:val="en-US" w:eastAsia="zh-CN" w:bidi="ar"/>
              </w:rPr>
              <w:t xml:space="preserve">  造价咨询企业咨询业务成果质量评价参考用表</w:t>
            </w:r>
          </w:p>
        </w:tc>
      </w:tr>
      <w:tr>
        <w:tblPrEx>
          <w:shd w:val="clear" w:color="auto" w:fill="auto"/>
          <w:tblCellMar>
            <w:top w:w="0" w:type="dxa"/>
            <w:left w:w="0" w:type="dxa"/>
            <w:bottom w:w="0" w:type="dxa"/>
            <w:right w:w="0" w:type="dxa"/>
          </w:tblCellMar>
        </w:tblPrEx>
        <w:trPr>
          <w:trHeight w:val="680" w:hRule="atLeast"/>
        </w:trPr>
        <w:tc>
          <w:tcPr>
            <w:tcW w:w="920" w:type="dxa"/>
            <w:tcBorders>
              <w:top w:val="single" w:color="000000" w:sz="8" w:space="0"/>
              <w:left w:val="single" w:color="000000" w:sz="8"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920" w:type="dxa"/>
            <w:tcBorders>
              <w:top w:val="single" w:color="000000" w:sz="8"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1350"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三级指标(X)</w:t>
            </w:r>
          </w:p>
        </w:tc>
        <w:tc>
          <w:tcPr>
            <w:tcW w:w="4246"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评价标准</w:t>
            </w:r>
          </w:p>
        </w:tc>
        <w:tc>
          <w:tcPr>
            <w:tcW w:w="569"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计算公式</w:t>
            </w:r>
          </w:p>
        </w:tc>
        <w:tc>
          <w:tcPr>
            <w:tcW w:w="576"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得分限额</w:t>
            </w:r>
          </w:p>
        </w:tc>
        <w:tc>
          <w:tcPr>
            <w:tcW w:w="569"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591"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扣分限额</w:t>
            </w:r>
          </w:p>
        </w:tc>
        <w:tc>
          <w:tcPr>
            <w:tcW w:w="581"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扣分</w:t>
            </w:r>
          </w:p>
        </w:tc>
        <w:tc>
          <w:tcPr>
            <w:tcW w:w="1708"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说明</w:t>
            </w:r>
          </w:p>
        </w:tc>
        <w:tc>
          <w:tcPr>
            <w:tcW w:w="2150" w:type="dxa"/>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评价内容和信息  数据来源</w:t>
            </w:r>
          </w:p>
        </w:tc>
      </w:tr>
      <w:tr>
        <w:tblPrEx>
          <w:shd w:val="clear" w:color="auto" w:fill="auto"/>
          <w:tblCellMar>
            <w:top w:w="0" w:type="dxa"/>
            <w:left w:w="0" w:type="dxa"/>
            <w:bottom w:w="0" w:type="dxa"/>
            <w:right w:w="0" w:type="dxa"/>
          </w:tblCellMar>
        </w:tblPrEx>
        <w:trPr>
          <w:trHeight w:val="4924" w:hRule="atLeast"/>
        </w:trPr>
        <w:tc>
          <w:tcPr>
            <w:tcW w:w="920" w:type="dxa"/>
            <w:vMerge w:val="restart"/>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3.各地自主评分或自定义评分项</w:t>
            </w:r>
          </w:p>
        </w:tc>
        <w:tc>
          <w:tcPr>
            <w:tcW w:w="920" w:type="dxa"/>
            <w:vMerge w:val="restart"/>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成果质量</w:t>
            </w:r>
          </w:p>
        </w:tc>
        <w:tc>
          <w:tcPr>
            <w:tcW w:w="1350" w:type="dxa"/>
            <w:vMerge w:val="restart"/>
            <w:tcBorders>
              <w:top w:val="single" w:color="000000" w:sz="4" w:space="0"/>
              <w:left w:val="single" w:color="auto"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3.2.2</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造价咨询业务成果质量情况</w:t>
            </w:r>
          </w:p>
        </w:tc>
        <w:tc>
          <w:tcPr>
            <w:tcW w:w="4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咨询成果质量：                            计价程序或取费基数错误的，每处减1分；（2）应进行工程量计算而无工程量计算书的（工程量计算书为电子媒介附在咨询成果档案中视同提供，下同），每个单位工程减2分；有工程量计算书而不完整的，视不完整程度减0.5~1分；（3）定额套用或组价错误的，每处减0.2分；（4）管理费或利润计取错误的，每处减0.1分；（5）措施项目费计取错误或无依据的，每处减0.3分；（6）规费计取错误的，每处减0.3分；（7）税率错误的减0.3分（若是增值税计成营业税的每个项目减1分）；（8）咨询报告书、审定单、汇总表、成果内容封面、质量控制流程单等资料数据、日期对应关系错误，每一处减0.2分；（9）其它影响工程计价结果的错误，视影响程度减0.1～0.3分</w:t>
            </w:r>
          </w:p>
        </w:tc>
        <w:tc>
          <w:tcPr>
            <w:tcW w:w="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5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150" w:type="dxa"/>
            <w:vMerge w:val="restar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由省级评价机构随机抽取评价期内每年1个政府投资项目，原则上项目规模1000万元以上，项目类型包括土建、安装、装饰、市政等至少两种，咨询类型包括结算审核、工程量清单及招标控制价编制等。如全部项目都不满足上述条件，由抽取机构自行调整并作说明。</w:t>
            </w:r>
          </w:p>
        </w:tc>
      </w:tr>
      <w:tr>
        <w:tblPrEx>
          <w:shd w:val="clear" w:color="auto" w:fill="auto"/>
          <w:tblCellMar>
            <w:top w:w="0" w:type="dxa"/>
            <w:left w:w="0" w:type="dxa"/>
            <w:bottom w:w="0" w:type="dxa"/>
            <w:right w:w="0" w:type="dxa"/>
          </w:tblCellMar>
        </w:tblPrEx>
        <w:trPr>
          <w:trHeight w:val="4304" w:hRule="atLeast"/>
        </w:trPr>
        <w:tc>
          <w:tcPr>
            <w:tcW w:w="920"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0"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50" w:type="dxa"/>
            <w:vMerge w:val="continue"/>
            <w:tcBorders>
              <w:top w:val="single" w:color="000000" w:sz="4" w:space="0"/>
              <w:left w:val="single" w:color="auto"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预、结算审核：                               （1）计价方式与施工合同约定不符，每个单位工程减5分；（2）应让利而未让利或让利计取错误的每个单位工程减1分；（3）人工单价计取错误的每个单位工程减1分，人工费应调差而未调的，每个单位工程减2分，人工费调差错误的每个单位工程减1分；（4）材料价格计取错误的，每处减0.2分，材料应调差而未调的每个单位工程减2分，材差调整错误的，每项减0.2分；（5）结算中的甲供材、水电费的处理在咨询报告或审定单中未作说明的每项减0.3分；（6）施工合同中关于工期、质量等奖罚处理在报告中未作说明的每项减0.2分； </w:t>
            </w:r>
          </w:p>
        </w:tc>
        <w:tc>
          <w:tcPr>
            <w:tcW w:w="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150" w:type="dxa"/>
            <w:vMerge w:val="continue"/>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954" w:hRule="atLeast"/>
        </w:trPr>
        <w:tc>
          <w:tcPr>
            <w:tcW w:w="920"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0"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50" w:type="dxa"/>
            <w:vMerge w:val="continue"/>
            <w:tcBorders>
              <w:top w:val="single" w:color="000000" w:sz="4" w:space="0"/>
              <w:left w:val="single" w:color="auto"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抽检的工程量清单或招标控制价编制项目：</w:t>
            </w:r>
          </w:p>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未按招标文件要求编制的减1分；（2）无编制说明的减0.5分，编制说明描写不详细的减0.2分；（3）清单中有违反计价规范条款的，每处减0.2分；（4）项目特征未按规范要求详细描述的每项减0.1分；（5）工程量清单项目、计价定额子目套用错误的每项减0.2分；（6）招标控制价中措施项目费应计而未计的，每处减0.2分，计取不合理的，每处减0.1分</w:t>
            </w:r>
          </w:p>
        </w:tc>
        <w:tc>
          <w:tcPr>
            <w:tcW w:w="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150" w:type="dxa"/>
            <w:vMerge w:val="continue"/>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392" w:hRule="atLeast"/>
        </w:trPr>
        <w:tc>
          <w:tcPr>
            <w:tcW w:w="920"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0"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50" w:type="dxa"/>
            <w:vMerge w:val="continue"/>
            <w:tcBorders>
              <w:top w:val="single" w:color="000000" w:sz="4" w:space="0"/>
              <w:left w:val="single" w:color="auto"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报告书要件齐全：                         </w:t>
            </w:r>
          </w:p>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报告书封面、扉页、目录、正文、审定单、成果文件必备的内容每缺一项扣0.25分</w:t>
            </w:r>
          </w:p>
        </w:tc>
        <w:tc>
          <w:tcPr>
            <w:tcW w:w="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5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0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果文件内容指预结算书的封面、项目费汇总表、单项工程费汇总表、单位工程费汇总表、工程量清单计价表（预结算表）、措施项目清单计价表及明细表、其它项目清单计价表、规费与税金计价表、甲供材明细表、甲供材超欠供表（如造价中反映）、水电费明细表（如造价中需要）、其它费用包括奖罚费用等造价中包含费用的明细表</w:t>
            </w:r>
          </w:p>
        </w:tc>
        <w:tc>
          <w:tcPr>
            <w:tcW w:w="2150" w:type="dxa"/>
            <w:vMerge w:val="continue"/>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5450" w:hRule="atLeast"/>
        </w:trPr>
        <w:tc>
          <w:tcPr>
            <w:tcW w:w="920"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0"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50" w:type="dxa"/>
            <w:vMerge w:val="continue"/>
            <w:tcBorders>
              <w:top w:val="single" w:color="000000" w:sz="4" w:space="0"/>
              <w:left w:val="single" w:color="auto"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报告书内容准确、完整、规范：              </w:t>
            </w:r>
          </w:p>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咨询报告书中工程概况、审核范围、审核依据、送审工程结算金额、审定金额、核减（增）金额及其主要原因、应披露的重大事项未表述齐全的，每缺一项减0.2分；</w:t>
            </w:r>
          </w:p>
        </w:tc>
        <w:tc>
          <w:tcPr>
            <w:tcW w:w="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150" w:type="dxa"/>
            <w:vMerge w:val="continue"/>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2510" w:hRule="atLeast"/>
        </w:trPr>
        <w:tc>
          <w:tcPr>
            <w:tcW w:w="920"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0"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50" w:type="dxa"/>
            <w:vMerge w:val="continue"/>
            <w:tcBorders>
              <w:top w:val="single" w:color="000000" w:sz="4" w:space="0"/>
              <w:left w:val="single" w:color="auto"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报告书签章齐全正确：                    （1）报告书扉页未盖企业执业专用章，每个项目扣0.25分；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（2）报告书落款必须有项目负责人签字、盖执业资格章，单位盖公章，每缺1项扣0.2分；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（3）工程结算审定单必须有各方盖章和咨询单位项目负责人签字盖章及签发人签字，每缺一项减0.2分。             </w:t>
            </w:r>
          </w:p>
        </w:tc>
        <w:tc>
          <w:tcPr>
            <w:tcW w:w="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预结算书封面是否签章根据各省规定考评</w:t>
            </w:r>
          </w:p>
        </w:tc>
        <w:tc>
          <w:tcPr>
            <w:tcW w:w="2150" w:type="dxa"/>
            <w:vMerge w:val="continue"/>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319" w:hRule="atLeast"/>
        </w:trPr>
        <w:tc>
          <w:tcPr>
            <w:tcW w:w="920"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0"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50" w:type="dxa"/>
            <w:vMerge w:val="continue"/>
            <w:tcBorders>
              <w:top w:val="single" w:color="000000" w:sz="4" w:space="0"/>
              <w:left w:val="single" w:color="auto"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档案的完整性：                          档案内容包括咨询成果文件、底稿、咨询依据文件、流程文件、备考表、成果文件电子档等，每缺一项扣0.25分。</w:t>
            </w:r>
          </w:p>
        </w:tc>
        <w:tc>
          <w:tcPr>
            <w:tcW w:w="569"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69"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9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58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0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档案内容、归档顺序、装订、签字要求等按《工程造价咨询业务操作指导规程》等文件规定；</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成果文件档案内容不齐全按项扣分;</w:t>
            </w:r>
          </w:p>
        </w:tc>
        <w:tc>
          <w:tcPr>
            <w:tcW w:w="2150" w:type="dxa"/>
            <w:vMerge w:val="restart"/>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272" w:hRule="atLeast"/>
        </w:trPr>
        <w:tc>
          <w:tcPr>
            <w:tcW w:w="920"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0"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50" w:type="dxa"/>
            <w:vMerge w:val="continue"/>
            <w:tcBorders>
              <w:top w:val="single" w:color="000000" w:sz="4" w:space="0"/>
              <w:left w:val="single" w:color="auto"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档案的规范性：                          档案文件规范、装订顺序符合要求、签章齐全，不符合要求的每处扣0.2分</w:t>
            </w:r>
          </w:p>
        </w:tc>
        <w:tc>
          <w:tcPr>
            <w:tcW w:w="56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6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9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8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150" w:type="dxa"/>
            <w:vMerge w:val="continue"/>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1196" w:hRule="atLeast"/>
        </w:trPr>
        <w:tc>
          <w:tcPr>
            <w:tcW w:w="920" w:type="dxa"/>
            <w:vMerge w:val="continue"/>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20" w:type="dxa"/>
            <w:vMerge w:val="continue"/>
            <w:tcBorders>
              <w:top w:val="single" w:color="auto"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50" w:type="dxa"/>
            <w:vMerge w:val="continue"/>
            <w:tcBorders>
              <w:top w:val="single" w:color="000000" w:sz="4" w:space="0"/>
              <w:left w:val="single" w:color="auto"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4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归档的及时性：                           应当在规定的期限内归档完毕，超过规定期限每项目扣0.5分</w:t>
            </w:r>
          </w:p>
        </w:tc>
        <w:tc>
          <w:tcPr>
            <w:tcW w:w="56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69"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9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8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0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根据各省规定执行，无规定的按咨询成果报告出具后40天内</w:t>
            </w:r>
          </w:p>
        </w:tc>
        <w:tc>
          <w:tcPr>
            <w:tcW w:w="2150" w:type="dxa"/>
            <w:vMerge w:val="continue"/>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trHeight w:val="473" w:hRule="atLeast"/>
        </w:trPr>
        <w:tc>
          <w:tcPr>
            <w:tcW w:w="7436" w:type="dxa"/>
            <w:gridSpan w:val="4"/>
            <w:tcBorders>
              <w:top w:val="single" w:color="000000" w:sz="8" w:space="0"/>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合    计</w:t>
            </w:r>
          </w:p>
        </w:tc>
        <w:tc>
          <w:tcPr>
            <w:tcW w:w="569" w:type="dxa"/>
            <w:tcBorders>
              <w:top w:val="single" w:color="000000" w:sz="8"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6" w:type="dxa"/>
            <w:tcBorders>
              <w:top w:val="single" w:color="000000" w:sz="8"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FF0000"/>
                <w:sz w:val="40"/>
                <w:szCs w:val="40"/>
                <w:u w:val="none"/>
              </w:rPr>
            </w:pPr>
          </w:p>
        </w:tc>
        <w:tc>
          <w:tcPr>
            <w:tcW w:w="569" w:type="dxa"/>
            <w:tcBorders>
              <w:top w:val="single" w:color="000000" w:sz="8"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91" w:type="dxa"/>
            <w:tcBorders>
              <w:top w:val="single" w:color="000000" w:sz="8"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6</w:t>
            </w:r>
          </w:p>
        </w:tc>
        <w:tc>
          <w:tcPr>
            <w:tcW w:w="581" w:type="dxa"/>
            <w:tcBorders>
              <w:top w:val="single" w:color="000000" w:sz="8"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08" w:type="dxa"/>
            <w:tcBorders>
              <w:top w:val="single" w:color="000000" w:sz="8"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150" w:type="dxa"/>
            <w:tcBorders>
              <w:top w:val="single" w:color="000000" w:sz="8" w:space="0"/>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bl>
    <w:p>
      <w:pPr>
        <w:widowControl w:val="0"/>
        <w:numPr>
          <w:ilvl w:val="0"/>
          <w:numId w:val="0"/>
        </w:numPr>
        <w:autoSpaceDE w:val="0"/>
        <w:autoSpaceDN w:val="0"/>
        <w:bidi w:val="0"/>
        <w:spacing w:before="0" w:after="0" w:line="240" w:lineRule="auto"/>
        <w:ind w:right="0" w:rightChars="0"/>
        <w:jc w:val="left"/>
        <w:rPr>
          <w:rFonts w:hint="default" w:ascii="宋体" w:hAnsi="宋体" w:eastAsia="宋体" w:cs="宋体"/>
          <w:sz w:val="22"/>
          <w:szCs w:val="22"/>
          <w:lang w:val="en-US" w:eastAsia="zh-CN" w:bidi="zh-CN"/>
        </w:rPr>
      </w:pPr>
      <w:r>
        <w:rPr>
          <w:rFonts w:hint="default" w:ascii="宋体" w:hAnsi="宋体" w:eastAsia="宋体" w:cs="宋体"/>
          <w:sz w:val="22"/>
          <w:szCs w:val="22"/>
          <w:lang w:val="en-US" w:eastAsia="zh-CN" w:bidi="zh-CN"/>
        </w:rPr>
        <w:t>备注：</w:t>
      </w:r>
    </w:p>
    <w:p>
      <w:pPr>
        <w:widowControl w:val="0"/>
        <w:numPr>
          <w:ilvl w:val="0"/>
          <w:numId w:val="5"/>
        </w:numPr>
        <w:autoSpaceDE w:val="0"/>
        <w:autoSpaceDN w:val="0"/>
        <w:bidi w:val="0"/>
        <w:spacing w:before="0" w:after="0" w:line="240" w:lineRule="auto"/>
        <w:ind w:right="0" w:rightChars="0"/>
        <w:jc w:val="left"/>
        <w:rPr>
          <w:rFonts w:hint="default" w:ascii="宋体" w:hAnsi="宋体" w:eastAsia="宋体" w:cs="宋体"/>
          <w:sz w:val="22"/>
          <w:szCs w:val="22"/>
          <w:lang w:val="en-US" w:eastAsia="zh-CN" w:bidi="zh-CN"/>
        </w:rPr>
      </w:pPr>
      <w:r>
        <w:rPr>
          <w:rFonts w:hint="default" w:ascii="宋体" w:hAnsi="宋体" w:eastAsia="宋体" w:cs="宋体"/>
          <w:sz w:val="22"/>
          <w:szCs w:val="22"/>
          <w:lang w:val="en-US" w:eastAsia="zh-CN" w:bidi="zh-CN"/>
        </w:rPr>
        <w:t>各地（省市自治区）自行制定评价办法或参考本表的评价办法</w:t>
      </w:r>
      <w:r>
        <w:rPr>
          <w:rFonts w:hint="eastAsia" w:cs="宋体"/>
          <w:sz w:val="22"/>
          <w:szCs w:val="22"/>
          <w:lang w:val="en-US" w:eastAsia="zh-CN" w:bidi="zh-CN"/>
        </w:rPr>
        <w:t>；</w:t>
      </w:r>
    </w:p>
    <w:p>
      <w:pPr>
        <w:widowControl w:val="0"/>
        <w:numPr>
          <w:ilvl w:val="0"/>
          <w:numId w:val="5"/>
        </w:numPr>
        <w:autoSpaceDE w:val="0"/>
        <w:autoSpaceDN w:val="0"/>
        <w:bidi w:val="0"/>
        <w:spacing w:before="0" w:after="0" w:line="240" w:lineRule="auto"/>
        <w:ind w:left="0" w:leftChars="0" w:right="0" w:rightChars="0" w:firstLine="0" w:firstLineChars="0"/>
        <w:jc w:val="left"/>
        <w:rPr>
          <w:rFonts w:hint="default" w:ascii="宋体" w:hAnsi="宋体" w:eastAsia="宋体" w:cs="宋体"/>
          <w:sz w:val="22"/>
          <w:szCs w:val="22"/>
          <w:lang w:val="en-US" w:eastAsia="zh-CN" w:bidi="zh-CN"/>
        </w:rPr>
      </w:pPr>
      <w:r>
        <w:rPr>
          <w:rFonts w:hint="default" w:ascii="宋体" w:hAnsi="宋体" w:eastAsia="宋体" w:cs="宋体"/>
          <w:sz w:val="22"/>
          <w:szCs w:val="22"/>
          <w:lang w:val="en-US" w:eastAsia="zh-CN" w:bidi="zh-CN"/>
        </w:rPr>
        <w:t>由各地（省市自治区）根据信用评价管理办法规定的自由裁量权，制定“自主评分项”评价办法和分值评定标准</w:t>
      </w:r>
      <w:r>
        <w:rPr>
          <w:rFonts w:hint="eastAsia" w:cs="宋体"/>
          <w:sz w:val="22"/>
          <w:szCs w:val="22"/>
          <w:lang w:val="en-US" w:eastAsia="zh-CN" w:bidi="zh-CN"/>
        </w:rPr>
        <w:t>；</w:t>
      </w:r>
    </w:p>
    <w:p>
      <w:pPr>
        <w:widowControl w:val="0"/>
        <w:numPr>
          <w:ilvl w:val="0"/>
          <w:numId w:val="0"/>
        </w:numPr>
        <w:autoSpaceDE w:val="0"/>
        <w:autoSpaceDN w:val="0"/>
        <w:bidi w:val="0"/>
        <w:spacing w:before="0" w:after="0" w:line="240" w:lineRule="auto"/>
        <w:ind w:leftChars="0" w:right="0" w:rightChars="0"/>
        <w:jc w:val="left"/>
        <w:rPr>
          <w:rFonts w:hint="default" w:ascii="宋体" w:hAnsi="宋体" w:eastAsia="宋体" w:cs="宋体"/>
          <w:sz w:val="22"/>
          <w:szCs w:val="22"/>
          <w:lang w:val="en-US" w:eastAsia="zh-CN" w:bidi="zh-CN"/>
        </w:rPr>
      </w:pPr>
      <w:r>
        <w:rPr>
          <w:rFonts w:hint="eastAsia" w:cs="宋体"/>
          <w:sz w:val="22"/>
          <w:szCs w:val="22"/>
          <w:lang w:val="en-US" w:eastAsia="zh-CN" w:bidi="zh-CN"/>
        </w:rPr>
        <w:t>3、</w:t>
      </w:r>
      <w:r>
        <w:rPr>
          <w:rFonts w:hint="default" w:ascii="宋体" w:hAnsi="宋体" w:eastAsia="宋体" w:cs="宋体"/>
          <w:sz w:val="22"/>
          <w:szCs w:val="22"/>
          <w:lang w:val="en-US" w:eastAsia="zh-CN" w:bidi="zh-CN"/>
        </w:rPr>
        <w:t>本附件评份标准适用于企业信用评价的造价咨询业务成果质量评价；</w:t>
      </w:r>
    </w:p>
    <w:p>
      <w:pPr>
        <w:widowControl w:val="0"/>
        <w:numPr>
          <w:ilvl w:val="0"/>
          <w:numId w:val="0"/>
        </w:numPr>
        <w:autoSpaceDE w:val="0"/>
        <w:autoSpaceDN w:val="0"/>
        <w:bidi w:val="0"/>
        <w:spacing w:before="0" w:after="0" w:line="240" w:lineRule="auto"/>
        <w:ind w:right="0" w:rightChars="0"/>
        <w:jc w:val="left"/>
        <w:rPr>
          <w:rFonts w:hint="default" w:ascii="宋体" w:hAnsi="宋体" w:eastAsia="宋体" w:cs="宋体"/>
          <w:sz w:val="22"/>
          <w:szCs w:val="22"/>
          <w:lang w:val="en-US" w:eastAsia="zh-CN" w:bidi="zh-CN"/>
        </w:rPr>
        <w:sectPr>
          <w:pgSz w:w="16838" w:h="11906" w:orient="landscape"/>
          <w:pgMar w:top="1417" w:right="1417" w:bottom="1417" w:left="1417"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r>
        <w:rPr>
          <w:rFonts w:hint="default" w:ascii="宋体" w:hAnsi="宋体" w:eastAsia="宋体" w:cs="宋体"/>
          <w:sz w:val="22"/>
          <w:szCs w:val="22"/>
          <w:lang w:val="en-US" w:eastAsia="zh-CN" w:bidi="zh-CN"/>
        </w:rPr>
        <w:t>4、本附件得分纳入附件1中3.2.2“造价咨询业务成果质量情况”项，与该项中的限额分值进行折算计分。</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163" w:beforeLines="50" w:line="360" w:lineRule="auto"/>
        <w:ind w:right="0" w:rightChars="0"/>
        <w:textAlignment w:val="auto"/>
        <w:rPr>
          <w:rFonts w:hint="eastAsia" w:asciiTheme="minorEastAsia" w:hAnsiTheme="minorEastAsia" w:eastAsiaTheme="minorEastAsia" w:cstheme="minorEastAsia"/>
          <w:b/>
          <w:i w:val="0"/>
          <w:color w:val="000000"/>
          <w:kern w:val="0"/>
          <w:sz w:val="28"/>
          <w:szCs w:val="28"/>
          <w:u w:val="none"/>
          <w:lang w:val="en-US" w:eastAsia="zh-CN" w:bidi="ar"/>
        </w:rPr>
      </w:pPr>
      <w:r>
        <w:rPr>
          <w:rFonts w:hint="eastAsia" w:asciiTheme="minorEastAsia" w:hAnsiTheme="minorEastAsia" w:eastAsiaTheme="minorEastAsia" w:cstheme="minorEastAsia"/>
          <w:b/>
          <w:i w:val="0"/>
          <w:color w:val="000000"/>
          <w:kern w:val="0"/>
          <w:sz w:val="28"/>
          <w:szCs w:val="28"/>
          <w:u w:val="none"/>
          <w:lang w:val="en-US" w:eastAsia="zh-CN" w:bidi="ar"/>
        </w:rPr>
        <w:t>附表2：  工程造价咨询企业营业收入及造价咨询业务收入评分表</w:t>
      </w: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525" w:leftChars="0" w:right="0" w:rightChars="0"/>
        <w:textAlignment w:val="auto"/>
        <w:rPr>
          <w:rFonts w:hint="eastAsia" w:asciiTheme="minorEastAsia" w:hAnsiTheme="minorEastAsia" w:eastAsiaTheme="minorEastAsia" w:cstheme="minorEastAsia"/>
          <w:b/>
          <w:i w:val="0"/>
          <w:color w:val="000000"/>
          <w:kern w:val="0"/>
          <w:sz w:val="13"/>
          <w:szCs w:val="13"/>
          <w:u w:val="none"/>
          <w:lang w:val="en-US" w:eastAsia="zh-CN" w:bidi="ar"/>
        </w:rPr>
      </w:pPr>
    </w:p>
    <w:tbl>
      <w:tblPr>
        <w:tblStyle w:val="6"/>
        <w:tblW w:w="8680" w:type="dxa"/>
        <w:tblInd w:w="82" w:type="dxa"/>
        <w:shd w:val="clear" w:color="auto" w:fill="auto"/>
        <w:tblLayout w:type="fixed"/>
        <w:tblCellMar>
          <w:top w:w="0" w:type="dxa"/>
          <w:left w:w="0" w:type="dxa"/>
          <w:bottom w:w="0" w:type="dxa"/>
          <w:right w:w="0" w:type="dxa"/>
        </w:tblCellMar>
      </w:tblPr>
      <w:tblGrid>
        <w:gridCol w:w="740"/>
        <w:gridCol w:w="3426"/>
        <w:gridCol w:w="1974"/>
        <w:gridCol w:w="1416"/>
        <w:gridCol w:w="1124"/>
      </w:tblGrid>
      <w:tr>
        <w:tblPrEx>
          <w:shd w:val="clear" w:color="auto" w:fill="auto"/>
          <w:tblCellMar>
            <w:top w:w="0" w:type="dxa"/>
            <w:left w:w="0" w:type="dxa"/>
            <w:bottom w:w="0" w:type="dxa"/>
            <w:right w:w="0" w:type="dxa"/>
          </w:tblCellMar>
        </w:tblPrEx>
        <w:trPr>
          <w:trHeight w:val="873" w:hRule="atLeast"/>
        </w:trPr>
        <w:tc>
          <w:tcPr>
            <w:tcW w:w="740" w:type="dxa"/>
            <w:tcBorders>
              <w:top w:val="single" w:color="000000" w:sz="8"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3426" w:type="dxa"/>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收入排名</w:t>
            </w:r>
          </w:p>
        </w:tc>
        <w:tc>
          <w:tcPr>
            <w:tcW w:w="1974" w:type="dxa"/>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营业收入分值</w:t>
            </w:r>
          </w:p>
        </w:tc>
        <w:tc>
          <w:tcPr>
            <w:tcW w:w="1416" w:type="dxa"/>
            <w:tcBorders>
              <w:top w:val="single" w:color="000000" w:sz="8"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造价咨询收入分值</w:t>
            </w:r>
          </w:p>
        </w:tc>
        <w:tc>
          <w:tcPr>
            <w:tcW w:w="1124" w:type="dxa"/>
            <w:tcBorders>
              <w:top w:val="single" w:color="000000" w:sz="8"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备注</w:t>
            </w:r>
          </w:p>
        </w:tc>
      </w:tr>
      <w:tr>
        <w:tblPrEx>
          <w:shd w:val="clear" w:color="auto" w:fill="auto"/>
          <w:tblCellMar>
            <w:top w:w="0" w:type="dxa"/>
            <w:left w:w="0" w:type="dxa"/>
            <w:bottom w:w="0" w:type="dxa"/>
            <w:right w:w="0" w:type="dxa"/>
          </w:tblCellMar>
        </w:tblPrEx>
        <w:trPr>
          <w:trHeight w:val="704" w:hRule="atLeast"/>
        </w:trPr>
        <w:tc>
          <w:tcPr>
            <w:tcW w:w="740"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19"/>
                <w:lang w:val="en-US" w:eastAsia="zh-CN" w:bidi="ar"/>
              </w:rPr>
              <w:t>前</w:t>
            </w:r>
            <w:r>
              <w:rPr>
                <w:rFonts w:ascii="Arial Narrow" w:hAnsi="Arial Narrow" w:eastAsia="Arial Narrow" w:cs="Arial Narrow"/>
                <w:i w:val="0"/>
                <w:color w:val="000000"/>
                <w:kern w:val="0"/>
                <w:sz w:val="22"/>
                <w:szCs w:val="22"/>
                <w:u w:val="none"/>
                <w:lang w:val="en-US" w:eastAsia="zh-CN" w:bidi="ar"/>
              </w:rPr>
              <w:t>30%</w:t>
            </w:r>
            <w:r>
              <w:rPr>
                <w:rStyle w:val="19"/>
                <w:lang w:val="en-US" w:eastAsia="zh-CN" w:bidi="ar"/>
              </w:rPr>
              <w:t>（含）</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4</w:t>
            </w:r>
          </w:p>
        </w:tc>
        <w:tc>
          <w:tcPr>
            <w:tcW w:w="1416"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10</w:t>
            </w:r>
          </w:p>
        </w:tc>
        <w:tc>
          <w:tcPr>
            <w:tcW w:w="1124"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704" w:hRule="atLeast"/>
        </w:trPr>
        <w:tc>
          <w:tcPr>
            <w:tcW w:w="740"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3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19"/>
                <w:lang w:val="en-US" w:eastAsia="zh-CN" w:bidi="ar"/>
              </w:rPr>
              <w:t>前</w:t>
            </w:r>
            <w:r>
              <w:rPr>
                <w:rFonts w:ascii="Arial Narrow" w:hAnsi="Arial Narrow" w:eastAsia="Arial Narrow" w:cs="Arial Narrow"/>
                <w:i w:val="0"/>
                <w:color w:val="000000"/>
                <w:kern w:val="0"/>
                <w:sz w:val="22"/>
                <w:szCs w:val="22"/>
                <w:u w:val="none"/>
                <w:lang w:val="en-US" w:eastAsia="zh-CN" w:bidi="ar"/>
              </w:rPr>
              <w:t>30</w:t>
            </w:r>
            <w:r>
              <w:rPr>
                <w:rStyle w:val="19"/>
                <w:lang w:val="en-US" w:eastAsia="zh-CN" w:bidi="ar"/>
              </w:rPr>
              <w:t>（不含）</w:t>
            </w:r>
            <w:r>
              <w:rPr>
                <w:rFonts w:ascii="Arial Narrow" w:hAnsi="Arial Narrow" w:eastAsia="Arial Narrow" w:cs="Arial Narrow"/>
                <w:i w:val="0"/>
                <w:color w:val="000000"/>
                <w:kern w:val="0"/>
                <w:sz w:val="22"/>
                <w:szCs w:val="22"/>
                <w:u w:val="none"/>
                <w:lang w:val="en-US" w:eastAsia="zh-CN" w:bidi="ar"/>
              </w:rPr>
              <w:t xml:space="preserve"> ~ 40%</w:t>
            </w:r>
            <w:r>
              <w:rPr>
                <w:rStyle w:val="19"/>
                <w:lang w:val="en-US" w:eastAsia="zh-CN" w:bidi="ar"/>
              </w:rPr>
              <w:t>（含）</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3.5</w:t>
            </w:r>
          </w:p>
        </w:tc>
        <w:tc>
          <w:tcPr>
            <w:tcW w:w="1416"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8</w:t>
            </w:r>
          </w:p>
        </w:tc>
        <w:tc>
          <w:tcPr>
            <w:tcW w:w="1124"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704" w:hRule="atLeast"/>
        </w:trPr>
        <w:tc>
          <w:tcPr>
            <w:tcW w:w="740"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3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19"/>
                <w:lang w:val="en-US" w:eastAsia="zh-CN" w:bidi="ar"/>
              </w:rPr>
              <w:t>前</w:t>
            </w:r>
            <w:r>
              <w:rPr>
                <w:rFonts w:ascii="Arial Narrow" w:hAnsi="Arial Narrow" w:eastAsia="Arial Narrow" w:cs="Arial Narrow"/>
                <w:i w:val="0"/>
                <w:color w:val="000000"/>
                <w:kern w:val="0"/>
                <w:sz w:val="22"/>
                <w:szCs w:val="22"/>
                <w:u w:val="none"/>
                <w:lang w:val="en-US" w:eastAsia="zh-CN" w:bidi="ar"/>
              </w:rPr>
              <w:t>40</w:t>
            </w:r>
            <w:r>
              <w:rPr>
                <w:rStyle w:val="19"/>
                <w:lang w:val="en-US" w:eastAsia="zh-CN" w:bidi="ar"/>
              </w:rPr>
              <w:t>（不含）</w:t>
            </w:r>
            <w:r>
              <w:rPr>
                <w:rFonts w:ascii="Arial Narrow" w:hAnsi="Arial Narrow" w:eastAsia="Arial Narrow" w:cs="Arial Narrow"/>
                <w:i w:val="0"/>
                <w:color w:val="000000"/>
                <w:kern w:val="0"/>
                <w:sz w:val="22"/>
                <w:szCs w:val="22"/>
                <w:u w:val="none"/>
                <w:lang w:val="en-US" w:eastAsia="zh-CN" w:bidi="ar"/>
              </w:rPr>
              <w:t xml:space="preserve"> ~ 50%</w:t>
            </w:r>
            <w:r>
              <w:rPr>
                <w:rStyle w:val="19"/>
                <w:lang w:val="en-US" w:eastAsia="zh-CN" w:bidi="ar"/>
              </w:rPr>
              <w:t>（含）</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3</w:t>
            </w:r>
          </w:p>
        </w:tc>
        <w:tc>
          <w:tcPr>
            <w:tcW w:w="1416"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6</w:t>
            </w:r>
          </w:p>
        </w:tc>
        <w:tc>
          <w:tcPr>
            <w:tcW w:w="1124"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704" w:hRule="atLeast"/>
        </w:trPr>
        <w:tc>
          <w:tcPr>
            <w:tcW w:w="740"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3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19"/>
                <w:lang w:val="en-US" w:eastAsia="zh-CN" w:bidi="ar"/>
              </w:rPr>
              <w:t>前</w:t>
            </w:r>
            <w:r>
              <w:rPr>
                <w:rFonts w:ascii="Arial Narrow" w:hAnsi="Arial Narrow" w:eastAsia="Arial Narrow" w:cs="Arial Narrow"/>
                <w:i w:val="0"/>
                <w:color w:val="000000"/>
                <w:kern w:val="0"/>
                <w:sz w:val="22"/>
                <w:szCs w:val="22"/>
                <w:u w:val="none"/>
                <w:lang w:val="en-US" w:eastAsia="zh-CN" w:bidi="ar"/>
              </w:rPr>
              <w:t>50</w:t>
            </w:r>
            <w:r>
              <w:rPr>
                <w:rStyle w:val="19"/>
                <w:lang w:val="en-US" w:eastAsia="zh-CN" w:bidi="ar"/>
              </w:rPr>
              <w:t>（不含）</w:t>
            </w:r>
            <w:r>
              <w:rPr>
                <w:rFonts w:ascii="Arial Narrow" w:hAnsi="Arial Narrow" w:eastAsia="Arial Narrow" w:cs="Arial Narrow"/>
                <w:i w:val="0"/>
                <w:color w:val="000000"/>
                <w:kern w:val="0"/>
                <w:sz w:val="22"/>
                <w:szCs w:val="22"/>
                <w:u w:val="none"/>
                <w:lang w:val="en-US" w:eastAsia="zh-CN" w:bidi="ar"/>
              </w:rPr>
              <w:t xml:space="preserve"> ~ 60%</w:t>
            </w:r>
            <w:r>
              <w:rPr>
                <w:rStyle w:val="19"/>
                <w:lang w:val="en-US" w:eastAsia="zh-CN" w:bidi="ar"/>
              </w:rPr>
              <w:t>（含）</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2.5</w:t>
            </w:r>
          </w:p>
        </w:tc>
        <w:tc>
          <w:tcPr>
            <w:tcW w:w="1416"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5</w:t>
            </w:r>
          </w:p>
        </w:tc>
        <w:tc>
          <w:tcPr>
            <w:tcW w:w="1124"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704" w:hRule="atLeast"/>
        </w:trPr>
        <w:tc>
          <w:tcPr>
            <w:tcW w:w="740"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3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19"/>
                <w:lang w:val="en-US" w:eastAsia="zh-CN" w:bidi="ar"/>
              </w:rPr>
              <w:t>前</w:t>
            </w:r>
            <w:r>
              <w:rPr>
                <w:rFonts w:ascii="Arial Narrow" w:hAnsi="Arial Narrow" w:eastAsia="Arial Narrow" w:cs="Arial Narrow"/>
                <w:i w:val="0"/>
                <w:color w:val="000000"/>
                <w:kern w:val="0"/>
                <w:sz w:val="22"/>
                <w:szCs w:val="22"/>
                <w:u w:val="none"/>
                <w:lang w:val="en-US" w:eastAsia="zh-CN" w:bidi="ar"/>
              </w:rPr>
              <w:t>60</w:t>
            </w:r>
            <w:r>
              <w:rPr>
                <w:rStyle w:val="19"/>
                <w:lang w:val="en-US" w:eastAsia="zh-CN" w:bidi="ar"/>
              </w:rPr>
              <w:t>（不含）</w:t>
            </w:r>
            <w:r>
              <w:rPr>
                <w:rFonts w:ascii="Arial Narrow" w:hAnsi="Arial Narrow" w:eastAsia="Arial Narrow" w:cs="Arial Narrow"/>
                <w:i w:val="0"/>
                <w:color w:val="000000"/>
                <w:kern w:val="0"/>
                <w:sz w:val="22"/>
                <w:szCs w:val="22"/>
                <w:u w:val="none"/>
                <w:lang w:val="en-US" w:eastAsia="zh-CN" w:bidi="ar"/>
              </w:rPr>
              <w:t xml:space="preserve"> ~ 70%</w:t>
            </w:r>
            <w:r>
              <w:rPr>
                <w:rStyle w:val="19"/>
                <w:lang w:val="en-US" w:eastAsia="zh-CN" w:bidi="ar"/>
              </w:rPr>
              <w:t>（含）</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2</w:t>
            </w:r>
          </w:p>
        </w:tc>
        <w:tc>
          <w:tcPr>
            <w:tcW w:w="1416"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4</w:t>
            </w:r>
          </w:p>
        </w:tc>
        <w:tc>
          <w:tcPr>
            <w:tcW w:w="1124"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704" w:hRule="atLeast"/>
        </w:trPr>
        <w:tc>
          <w:tcPr>
            <w:tcW w:w="740"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3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19"/>
                <w:lang w:val="en-US" w:eastAsia="zh-CN" w:bidi="ar"/>
              </w:rPr>
              <w:t>前</w:t>
            </w:r>
            <w:r>
              <w:rPr>
                <w:rFonts w:ascii="Arial Narrow" w:hAnsi="Arial Narrow" w:eastAsia="Arial Narrow" w:cs="Arial Narrow"/>
                <w:i w:val="0"/>
                <w:color w:val="000000"/>
                <w:kern w:val="0"/>
                <w:sz w:val="22"/>
                <w:szCs w:val="22"/>
                <w:u w:val="none"/>
                <w:lang w:val="en-US" w:eastAsia="zh-CN" w:bidi="ar"/>
              </w:rPr>
              <w:t>70</w:t>
            </w:r>
            <w:r>
              <w:rPr>
                <w:rStyle w:val="19"/>
                <w:lang w:val="en-US" w:eastAsia="zh-CN" w:bidi="ar"/>
              </w:rPr>
              <w:t>（不含）</w:t>
            </w:r>
            <w:r>
              <w:rPr>
                <w:rFonts w:ascii="Arial Narrow" w:hAnsi="Arial Narrow" w:eastAsia="Arial Narrow" w:cs="Arial Narrow"/>
                <w:i w:val="0"/>
                <w:color w:val="000000"/>
                <w:kern w:val="0"/>
                <w:sz w:val="22"/>
                <w:szCs w:val="22"/>
                <w:u w:val="none"/>
                <w:lang w:val="en-US" w:eastAsia="zh-CN" w:bidi="ar"/>
              </w:rPr>
              <w:t xml:space="preserve"> ~ 80%</w:t>
            </w:r>
            <w:r>
              <w:rPr>
                <w:rStyle w:val="19"/>
                <w:lang w:val="en-US" w:eastAsia="zh-CN" w:bidi="ar"/>
              </w:rPr>
              <w:t>（含）</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1.5</w:t>
            </w:r>
          </w:p>
        </w:tc>
        <w:tc>
          <w:tcPr>
            <w:tcW w:w="1416"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3</w:t>
            </w:r>
          </w:p>
        </w:tc>
        <w:tc>
          <w:tcPr>
            <w:tcW w:w="1124"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704" w:hRule="atLeast"/>
        </w:trPr>
        <w:tc>
          <w:tcPr>
            <w:tcW w:w="740"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3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19"/>
                <w:lang w:val="en-US" w:eastAsia="zh-CN" w:bidi="ar"/>
              </w:rPr>
              <w:t>前</w:t>
            </w:r>
            <w:r>
              <w:rPr>
                <w:rFonts w:ascii="Arial Narrow" w:hAnsi="Arial Narrow" w:eastAsia="Arial Narrow" w:cs="Arial Narrow"/>
                <w:i w:val="0"/>
                <w:color w:val="000000"/>
                <w:kern w:val="0"/>
                <w:sz w:val="22"/>
                <w:szCs w:val="22"/>
                <w:u w:val="none"/>
                <w:lang w:val="en-US" w:eastAsia="zh-CN" w:bidi="ar"/>
              </w:rPr>
              <w:t xml:space="preserve">80 </w:t>
            </w:r>
            <w:r>
              <w:rPr>
                <w:rStyle w:val="19"/>
                <w:lang w:val="en-US" w:eastAsia="zh-CN" w:bidi="ar"/>
              </w:rPr>
              <w:t>（不含）</w:t>
            </w:r>
            <w:r>
              <w:rPr>
                <w:rFonts w:ascii="Arial Narrow" w:hAnsi="Arial Narrow" w:eastAsia="Arial Narrow" w:cs="Arial Narrow"/>
                <w:i w:val="0"/>
                <w:color w:val="000000"/>
                <w:kern w:val="0"/>
                <w:sz w:val="22"/>
                <w:szCs w:val="22"/>
                <w:u w:val="none"/>
                <w:lang w:val="en-US" w:eastAsia="zh-CN" w:bidi="ar"/>
              </w:rPr>
              <w:t>~ 90%</w:t>
            </w:r>
            <w:r>
              <w:rPr>
                <w:rStyle w:val="19"/>
                <w:lang w:val="en-US" w:eastAsia="zh-CN" w:bidi="ar"/>
              </w:rPr>
              <w:t>（含）</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1</w:t>
            </w:r>
          </w:p>
        </w:tc>
        <w:tc>
          <w:tcPr>
            <w:tcW w:w="1416"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2</w:t>
            </w:r>
          </w:p>
        </w:tc>
        <w:tc>
          <w:tcPr>
            <w:tcW w:w="1124"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704" w:hRule="atLeast"/>
        </w:trPr>
        <w:tc>
          <w:tcPr>
            <w:tcW w:w="740"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34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Style w:val="19"/>
                <w:lang w:val="en-US" w:eastAsia="zh-CN" w:bidi="ar"/>
              </w:rPr>
              <w:t>前</w:t>
            </w:r>
            <w:r>
              <w:rPr>
                <w:rFonts w:ascii="Arial Narrow" w:hAnsi="Arial Narrow" w:eastAsia="Arial Narrow" w:cs="Arial Narrow"/>
                <w:i w:val="0"/>
                <w:color w:val="000000"/>
                <w:kern w:val="0"/>
                <w:sz w:val="22"/>
                <w:szCs w:val="22"/>
                <w:u w:val="none"/>
                <w:lang w:val="en-US" w:eastAsia="zh-CN" w:bidi="ar"/>
              </w:rPr>
              <w:t xml:space="preserve">90 </w:t>
            </w:r>
            <w:r>
              <w:rPr>
                <w:rStyle w:val="19"/>
                <w:lang w:val="en-US" w:eastAsia="zh-CN" w:bidi="ar"/>
              </w:rPr>
              <w:t>（不含）</w:t>
            </w:r>
            <w:r>
              <w:rPr>
                <w:rFonts w:ascii="Arial Narrow" w:hAnsi="Arial Narrow" w:eastAsia="Arial Narrow" w:cs="Arial Narrow"/>
                <w:i w:val="0"/>
                <w:color w:val="000000"/>
                <w:kern w:val="0"/>
                <w:sz w:val="22"/>
                <w:szCs w:val="22"/>
                <w:u w:val="none"/>
                <w:lang w:val="en-US" w:eastAsia="zh-CN" w:bidi="ar"/>
              </w:rPr>
              <w:t>~ 100%</w:t>
            </w:r>
            <w:r>
              <w:rPr>
                <w:rStyle w:val="19"/>
                <w:lang w:val="en-US" w:eastAsia="zh-CN" w:bidi="ar"/>
              </w:rPr>
              <w:t>（含）</w:t>
            </w:r>
          </w:p>
        </w:tc>
        <w:tc>
          <w:tcPr>
            <w:tcW w:w="19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0.5</w:t>
            </w:r>
          </w:p>
        </w:tc>
        <w:tc>
          <w:tcPr>
            <w:tcW w:w="1416"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1</w:t>
            </w:r>
          </w:p>
        </w:tc>
        <w:tc>
          <w:tcPr>
            <w:tcW w:w="1124"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748" w:hRule="atLeast"/>
        </w:trPr>
        <w:tc>
          <w:tcPr>
            <w:tcW w:w="740" w:type="dxa"/>
            <w:tcBorders>
              <w:top w:val="single" w:color="000000" w:sz="4" w:space="0"/>
              <w:left w:val="single" w:color="000000" w:sz="8" w:space="0"/>
              <w:bottom w:val="single" w:color="000000" w:sz="8"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3426" w:type="dxa"/>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eastAsia" w:ascii="宋体" w:hAnsi="宋体" w:eastAsia="宋体" w:cs="宋体"/>
                <w:i w:val="0"/>
                <w:color w:val="000000"/>
                <w:kern w:val="0"/>
                <w:sz w:val="22"/>
                <w:szCs w:val="22"/>
                <w:u w:val="none"/>
                <w:lang w:val="en-US" w:eastAsia="zh-CN" w:bidi="ar"/>
              </w:rPr>
              <w:t>无收入</w:t>
            </w:r>
          </w:p>
        </w:tc>
        <w:tc>
          <w:tcPr>
            <w:tcW w:w="1974" w:type="dxa"/>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0</w:t>
            </w:r>
          </w:p>
        </w:tc>
        <w:tc>
          <w:tcPr>
            <w:tcW w:w="1416" w:type="dxa"/>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Narrow" w:hAnsi="Arial Narrow" w:eastAsia="Arial Narrow" w:cs="Arial Narrow"/>
                <w:i w:val="0"/>
                <w:color w:val="000000"/>
                <w:sz w:val="22"/>
                <w:szCs w:val="22"/>
                <w:u w:val="none"/>
              </w:rPr>
            </w:pPr>
            <w:r>
              <w:rPr>
                <w:rFonts w:hint="default" w:ascii="Arial Narrow" w:hAnsi="Arial Narrow" w:eastAsia="Arial Narrow" w:cs="Arial Narrow"/>
                <w:i w:val="0"/>
                <w:color w:val="000000"/>
                <w:kern w:val="0"/>
                <w:sz w:val="22"/>
                <w:szCs w:val="22"/>
                <w:u w:val="none"/>
                <w:lang w:val="en-US" w:eastAsia="zh-CN" w:bidi="ar"/>
              </w:rPr>
              <w:t>0</w:t>
            </w:r>
          </w:p>
        </w:tc>
        <w:tc>
          <w:tcPr>
            <w:tcW w:w="1124" w:type="dxa"/>
            <w:tcBorders>
              <w:top w:val="single" w:color="000000" w:sz="4" w:space="0"/>
              <w:left w:val="single" w:color="000000" w:sz="4"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default"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注：1、工程造价咨询企业营业收入及造价咨询业务收入均从工程造价咨询统计系统导入。</w:t>
      </w: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2、营业收入分值对应营业收入排名，造价咨询业务收入分值对应造价咨询收入排名。</w:t>
      </w: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firstLine="420" w:firstLineChars="200"/>
        <w:textAlignment w:val="auto"/>
        <w:rPr>
          <w:rFonts w:hint="default" w:asciiTheme="minorEastAsia" w:hAnsiTheme="minorEastAsia" w:eastAsiaTheme="minorEastAsia" w:cstheme="minorEastAsia"/>
          <w:sz w:val="21"/>
          <w:szCs w:val="21"/>
          <w:lang w:val="en-US" w:eastAsia="zh-CN"/>
        </w:rPr>
        <w:sectPr>
          <w:pgSz w:w="11906" w:h="16838"/>
          <w:pgMar w:top="1417" w:right="1417" w:bottom="1417" w:left="1417" w:header="851" w:footer="992" w:gutter="0"/>
          <w:pgBorders>
            <w:top w:val="none" w:sz="0" w:space="0"/>
            <w:left w:val="none" w:sz="0" w:space="0"/>
            <w:bottom w:val="none" w:sz="0" w:space="0"/>
            <w:right w:val="none" w:sz="0" w:space="0"/>
          </w:pgBorders>
          <w:pgNumType w:fmt="decimal"/>
          <w:cols w:space="0" w:num="1"/>
          <w:rtlGutter w:val="0"/>
          <w:docGrid w:type="lines" w:linePitch="324" w:charSpace="0"/>
        </w:sectPr>
      </w:pPr>
      <w:r>
        <w:rPr>
          <w:rFonts w:hint="eastAsia" w:asciiTheme="minorEastAsia" w:hAnsiTheme="minorEastAsia" w:eastAsiaTheme="minorEastAsia" w:cstheme="minorEastAsia"/>
          <w:sz w:val="21"/>
          <w:szCs w:val="21"/>
          <w:lang w:val="en-US" w:eastAsia="zh-CN"/>
        </w:rPr>
        <w:t>3、收入排名按企业在注册所在地（省、市、自治区）进行排名，各行业按所属行业进行排名。</w:t>
      </w: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default" w:asciiTheme="minorEastAsia" w:hAnsiTheme="minorEastAsia" w:eastAsiaTheme="minorEastAsia" w:cstheme="minorEastAsia"/>
          <w:b/>
          <w:bCs/>
          <w:sz w:val="28"/>
          <w:szCs w:val="28"/>
          <w:lang w:val="en-US" w:eastAsia="zh-CN"/>
        </w:rPr>
      </w:pPr>
      <w:r>
        <w:rPr>
          <w:rFonts w:hint="default" w:asciiTheme="minorEastAsia" w:hAnsiTheme="minorEastAsia" w:eastAsiaTheme="minorEastAsia" w:cstheme="minorEastAsia"/>
          <w:b/>
          <w:bCs/>
          <w:sz w:val="28"/>
          <w:szCs w:val="28"/>
          <w:lang w:val="en-US" w:eastAsia="zh-CN"/>
        </w:rPr>
        <w:t>附</w:t>
      </w:r>
      <w:r>
        <w:rPr>
          <w:rFonts w:hint="eastAsia" w:asciiTheme="minorEastAsia" w:hAnsiTheme="minorEastAsia" w:eastAsiaTheme="minorEastAsia" w:cstheme="minorEastAsia"/>
          <w:b/>
          <w:bCs/>
          <w:sz w:val="28"/>
          <w:szCs w:val="28"/>
          <w:lang w:val="en-US" w:eastAsia="zh-CN"/>
        </w:rPr>
        <w:t>表</w:t>
      </w:r>
      <w:r>
        <w:rPr>
          <w:rFonts w:hint="default" w:asciiTheme="minorEastAsia" w:hAnsiTheme="minorEastAsia" w:eastAsiaTheme="minorEastAsia" w:cstheme="minorEastAsia"/>
          <w:b/>
          <w:bCs/>
          <w:sz w:val="28"/>
          <w:szCs w:val="28"/>
          <w:lang w:val="en-US" w:eastAsia="zh-CN"/>
        </w:rPr>
        <w:t xml:space="preserve">3：                          </w:t>
      </w:r>
      <w:r>
        <w:rPr>
          <w:rFonts w:hint="eastAsia" w:asciiTheme="minorEastAsia" w:hAnsiTheme="minorEastAsia" w:cstheme="minorEastAsia"/>
          <w:b/>
          <w:bCs/>
          <w:sz w:val="28"/>
          <w:szCs w:val="28"/>
          <w:lang w:val="en-US" w:eastAsia="zh-CN"/>
        </w:rPr>
        <w:t xml:space="preserve"> </w:t>
      </w:r>
      <w:r>
        <w:rPr>
          <w:rFonts w:hint="default" w:asciiTheme="minorEastAsia" w:hAnsiTheme="minorEastAsia" w:eastAsiaTheme="minorEastAsia" w:cstheme="minorEastAsia"/>
          <w:b/>
          <w:bCs/>
          <w:sz w:val="28"/>
          <w:szCs w:val="28"/>
          <w:lang w:val="en-US" w:eastAsia="zh-CN"/>
        </w:rPr>
        <w:t xml:space="preserve"> 工程造价咨询企业良好行为加分表</w:t>
      </w:r>
    </w:p>
    <w:tbl>
      <w:tblPr>
        <w:tblStyle w:val="6"/>
        <w:tblW w:w="14346" w:type="dxa"/>
        <w:tblInd w:w="0" w:type="dxa"/>
        <w:shd w:val="clear" w:color="auto" w:fill="auto"/>
        <w:tblLayout w:type="fixed"/>
        <w:tblCellMar>
          <w:top w:w="0" w:type="dxa"/>
          <w:left w:w="0" w:type="dxa"/>
          <w:bottom w:w="0" w:type="dxa"/>
          <w:right w:w="0" w:type="dxa"/>
        </w:tblCellMar>
      </w:tblPr>
      <w:tblGrid>
        <w:gridCol w:w="523"/>
        <w:gridCol w:w="11603"/>
        <w:gridCol w:w="645"/>
        <w:gridCol w:w="780"/>
        <w:gridCol w:w="795"/>
      </w:tblGrid>
      <w:tr>
        <w:tblPrEx>
          <w:shd w:val="clear" w:color="auto" w:fill="auto"/>
          <w:tblCellMar>
            <w:top w:w="0" w:type="dxa"/>
            <w:left w:w="0" w:type="dxa"/>
            <w:bottom w:w="0" w:type="dxa"/>
            <w:right w:w="0" w:type="dxa"/>
          </w:tblCellMar>
        </w:tblPrEx>
        <w:trPr>
          <w:trHeight w:val="660"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序号</w:t>
            </w:r>
          </w:p>
        </w:tc>
        <w:tc>
          <w:tcPr>
            <w:tcW w:w="116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良好行为加分项内容</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加分  限额</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得分</w:t>
            </w:r>
          </w:p>
        </w:tc>
        <w:tc>
          <w:tcPr>
            <w:tcW w:w="79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合计加分  限额</w:t>
            </w:r>
          </w:p>
        </w:tc>
      </w:tr>
      <w:tr>
        <w:tblPrEx>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1.1</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企业在造价咨询活动中获得市级及以上人民政府的表彰、表扬或奖励，每获国家级加2分/项，每获省（直辖市）级加1.5分/项，每获市级加1分/项</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w:t>
            </w:r>
          </w:p>
        </w:tc>
        <w:tc>
          <w:tcPr>
            <w:tcW w:w="78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10</w:t>
            </w:r>
          </w:p>
        </w:tc>
      </w:tr>
      <w:tr>
        <w:tblPrEx>
          <w:shd w:val="clear" w:color="auto" w:fill="auto"/>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1.2</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企业在造价咨询活动中获得市级以上建设行政主管部门、行业管理机构或行业协会的表彰、表扬或奖励,每获国家级加1分/项，每获省（直辖市）级加0.8分/项，每获市级加0.5分/项；获得市级以上审计、财政、发改等政府部门的表彰或奖励,获省级及以上的加0.5分/项，获市级的加0.3分/项，获得委托方奖励的加0.5分/项</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w:t>
            </w:r>
          </w:p>
        </w:tc>
        <w:tc>
          <w:tcPr>
            <w:tcW w:w="78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r>
        <w:tblPrEx>
          <w:shd w:val="clear" w:color="auto" w:fill="auto"/>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1.3</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企业有中价协资深会员0.5分/人</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w:t>
            </w:r>
          </w:p>
        </w:tc>
        <w:tc>
          <w:tcPr>
            <w:tcW w:w="78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r>
        <w:tblPrEx>
          <w:shd w:val="clear" w:color="auto" w:fill="auto"/>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1.4</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企业有造价行业专家，如中价协专家委员会成员，省造价协会专家委员会成员，省建设厅、财政局评标专家等。中价协0.5分/人，省（直辖市）级0.3分/人，市级0.2分/人</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w:t>
            </w:r>
          </w:p>
        </w:tc>
        <w:tc>
          <w:tcPr>
            <w:tcW w:w="78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r>
        <w:tblPrEx>
          <w:shd w:val="clear" w:color="auto" w:fill="auto"/>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1.5</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企业在参加造价行业组织的专业技能类竞赛中获奖，每获国家级加2分/项，每获省（直辖市）级加1.5分/项，每获市级加1分/项；员工获奖按相应级别减半加分</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3</w:t>
            </w:r>
          </w:p>
        </w:tc>
        <w:tc>
          <w:tcPr>
            <w:tcW w:w="78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r>
        <w:tblPrEx>
          <w:shd w:val="clear" w:color="auto" w:fill="auto"/>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1.6</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企业在参加造价行业协会组织的文体活动竞赛等各类活动中获奖，每获国家级加1分/项，每获省（直辖市）级加0.8分/项，每获市级加0.5分/项,</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w:t>
            </w:r>
          </w:p>
        </w:tc>
        <w:tc>
          <w:tcPr>
            <w:tcW w:w="78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r>
        <w:tblPrEx>
          <w:shd w:val="clear" w:color="auto" w:fill="auto"/>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1.7</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发表与工程造价相关论文、案例，国家级（国际）刊物加1分/项，省（直辖市）级刊物加0.8分/项，市级刊物加0.5分/项                                                                                 获得行业优秀论文、典型案例的加0.5分/项</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w:t>
            </w:r>
          </w:p>
        </w:tc>
        <w:tc>
          <w:tcPr>
            <w:tcW w:w="78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r>
        <w:tblPrEx>
          <w:shd w:val="clear" w:color="auto" w:fill="auto"/>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1.8</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参与市级以上行业管理机构组织的计价依据的修编（或补充定额的编制）、教材修编、试卷命题等，加1分/人；</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w:t>
            </w:r>
          </w:p>
        </w:tc>
        <w:tc>
          <w:tcPr>
            <w:tcW w:w="78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r>
        <w:tblPrEx>
          <w:shd w:val="clear" w:color="auto" w:fill="auto"/>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1.9</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参与造价相关的课题研究及规范、标准编制，系主编的，住建部标准定额司或中价协加1分/人，省（直辖市）级加0.8分/人，市级0.5分/人，系参编的，按主编标准减半加分</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w:t>
            </w:r>
          </w:p>
        </w:tc>
        <w:tc>
          <w:tcPr>
            <w:tcW w:w="78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r>
        <w:tblPrEx>
          <w:shd w:val="clear" w:color="auto" w:fill="auto"/>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b/>
                <w:i w:val="0"/>
                <w:color w:val="000000"/>
                <w:kern w:val="0"/>
                <w:sz w:val="18"/>
                <w:szCs w:val="18"/>
                <w:u w:val="none"/>
                <w:lang w:val="en-US" w:eastAsia="zh-CN" w:bidi="ar"/>
              </w:rPr>
              <w:t>序号</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b/>
                <w:i w:val="0"/>
                <w:color w:val="000000"/>
                <w:kern w:val="0"/>
                <w:sz w:val="18"/>
                <w:szCs w:val="18"/>
                <w:u w:val="none"/>
                <w:lang w:val="en-US" w:eastAsia="zh-CN" w:bidi="ar"/>
              </w:rPr>
              <w:t>良好行为加分项内容</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b/>
                <w:i w:val="0"/>
                <w:color w:val="000000"/>
                <w:kern w:val="0"/>
                <w:sz w:val="18"/>
                <w:szCs w:val="18"/>
                <w:u w:val="none"/>
                <w:lang w:val="en-US" w:eastAsia="zh-CN" w:bidi="ar"/>
              </w:rPr>
              <w:t>加分  限额</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得分</w:t>
            </w:r>
          </w:p>
        </w:tc>
        <w:tc>
          <w:tcPr>
            <w:tcW w:w="795" w:type="dxa"/>
            <w:tcBorders>
              <w:top w:val="single" w:color="auto"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b/>
                <w:i w:val="0"/>
                <w:color w:val="000000"/>
                <w:kern w:val="0"/>
                <w:sz w:val="18"/>
                <w:szCs w:val="18"/>
                <w:u w:val="none"/>
                <w:lang w:val="en-US" w:eastAsia="zh-CN" w:bidi="ar"/>
              </w:rPr>
              <w:t>合计加分  限额</w:t>
            </w:r>
          </w:p>
        </w:tc>
      </w:tr>
      <w:tr>
        <w:tblPrEx>
          <w:shd w:val="clear" w:color="auto" w:fill="auto"/>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 xml:space="preserve">1.10 </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参加造价行业组织的检查、评审、阅卷等，加0.5分/人次</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接上</w:t>
            </w:r>
          </w:p>
        </w:tc>
      </w:tr>
      <w:tr>
        <w:tblPrEx>
          <w:shd w:val="clear" w:color="auto" w:fill="auto"/>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1.11</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提供在校学生、应届大学生等实习、实训机会的加0.1分/人；与高等院校或职业学院达成校企联合实训基地的加1分。</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p>
        </w:tc>
      </w:tr>
      <w:tr>
        <w:tblPrEx>
          <w:shd w:val="clear" w:color="auto" w:fill="auto"/>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1.12</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 xml:space="preserve">参与救灾、捐款、物资捐赠、助教、助残、扶贫等慈善公益活动，加0.5分/次；                                                      </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r>
        <w:tblPrEx>
          <w:shd w:val="clear" w:color="auto" w:fill="auto"/>
          <w:tblCellMar>
            <w:top w:w="0" w:type="dxa"/>
            <w:left w:w="0" w:type="dxa"/>
            <w:bottom w:w="0" w:type="dxa"/>
            <w:right w:w="0" w:type="dxa"/>
          </w:tblCellMar>
        </w:tblPrEx>
        <w:trPr>
          <w:trHeight w:val="799" w:hRule="atLeast"/>
        </w:trPr>
        <w:tc>
          <w:tcPr>
            <w:tcW w:w="5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1.13</w:t>
            </w:r>
          </w:p>
        </w:tc>
        <w:tc>
          <w:tcPr>
            <w:tcW w:w="11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企业投保职业保险的加2分</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18"/>
                <w:szCs w:val="18"/>
                <w:u w:val="none"/>
              </w:rPr>
            </w:pPr>
            <w:r>
              <w:rPr>
                <w:rFonts w:hint="eastAsia" w:asciiTheme="minorEastAsia" w:hAnsiTheme="minorEastAsia" w:eastAsiaTheme="minorEastAsia" w:cstheme="minorEastAsia"/>
                <w:i w:val="0"/>
                <w:color w:val="000000"/>
                <w:kern w:val="0"/>
                <w:sz w:val="18"/>
                <w:szCs w:val="18"/>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c>
          <w:tcPr>
            <w:tcW w:w="795"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Theme="minorEastAsia" w:hAnsiTheme="minorEastAsia" w:eastAsiaTheme="minorEastAsia" w:cstheme="minorEastAsia"/>
                <w:i w:val="0"/>
                <w:color w:val="000000"/>
                <w:sz w:val="18"/>
                <w:szCs w:val="18"/>
                <w:u w:val="none"/>
              </w:rPr>
            </w:pPr>
          </w:p>
        </w:tc>
      </w:tr>
    </w:tbl>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注：1、企业填报相关信息，准备相关材料备查，接受社会监督；</w:t>
      </w: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    2、同一项良好行为不得重复计分。</w:t>
      </w: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default"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default"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default"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default"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default" w:asciiTheme="minorEastAsia" w:hAnsiTheme="minorEastAsia" w:eastAsiaTheme="minorEastAsia" w:cstheme="minorEastAsia"/>
          <w:sz w:val="21"/>
          <w:szCs w:val="21"/>
          <w:lang w:val="en-US"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default" w:asciiTheme="minorEastAsia" w:hAnsiTheme="minorEastAsia" w:eastAsiaTheme="minorEastAsia" w:cstheme="minorEastAsia"/>
          <w:b/>
          <w:bCs/>
          <w:sz w:val="28"/>
          <w:szCs w:val="28"/>
          <w:lang w:val="en-US" w:eastAsia="zh-CN"/>
        </w:rPr>
      </w:pPr>
      <w:r>
        <w:rPr>
          <w:rFonts w:hint="default" w:asciiTheme="minorEastAsia" w:hAnsiTheme="minorEastAsia" w:eastAsiaTheme="minorEastAsia" w:cstheme="minorEastAsia"/>
          <w:b/>
          <w:bCs/>
          <w:sz w:val="28"/>
          <w:szCs w:val="28"/>
          <w:lang w:val="en-US" w:eastAsia="zh-CN"/>
        </w:rPr>
        <w:t>附</w:t>
      </w:r>
      <w:r>
        <w:rPr>
          <w:rFonts w:hint="eastAsia" w:asciiTheme="minorEastAsia" w:hAnsiTheme="minorEastAsia" w:eastAsiaTheme="minorEastAsia" w:cstheme="minorEastAsia"/>
          <w:b/>
          <w:bCs/>
          <w:sz w:val="28"/>
          <w:szCs w:val="28"/>
          <w:lang w:val="en-US" w:eastAsia="zh-CN"/>
        </w:rPr>
        <w:t>表</w:t>
      </w:r>
      <w:r>
        <w:rPr>
          <w:rFonts w:hint="default" w:asciiTheme="minorEastAsia" w:hAnsiTheme="minorEastAsia" w:eastAsiaTheme="minorEastAsia" w:cstheme="minorEastAsia"/>
          <w:b/>
          <w:bCs/>
          <w:sz w:val="28"/>
          <w:szCs w:val="28"/>
          <w:lang w:val="en-US" w:eastAsia="zh-CN"/>
        </w:rPr>
        <w:t xml:space="preserve">4：                      </w:t>
      </w:r>
      <w:r>
        <w:rPr>
          <w:rFonts w:hint="eastAsia" w:asciiTheme="minorEastAsia" w:hAnsiTheme="minorEastAsia" w:cstheme="minorEastAsia"/>
          <w:b/>
          <w:bCs/>
          <w:sz w:val="28"/>
          <w:szCs w:val="28"/>
          <w:lang w:val="en-US" w:eastAsia="zh-CN"/>
        </w:rPr>
        <w:t xml:space="preserve">   </w:t>
      </w:r>
      <w:r>
        <w:rPr>
          <w:rFonts w:hint="default" w:asciiTheme="minorEastAsia" w:hAnsiTheme="minorEastAsia" w:eastAsiaTheme="minorEastAsia" w:cstheme="minorEastAsia"/>
          <w:b/>
          <w:bCs/>
          <w:sz w:val="28"/>
          <w:szCs w:val="28"/>
          <w:lang w:val="en-US" w:eastAsia="zh-CN"/>
        </w:rPr>
        <w:t>工程造价咨询企业不良行为扣分表</w:t>
      </w:r>
    </w:p>
    <w:tbl>
      <w:tblPr>
        <w:tblStyle w:val="6"/>
        <w:tblW w:w="14023" w:type="dxa"/>
        <w:tblInd w:w="0" w:type="dxa"/>
        <w:shd w:val="clear" w:color="auto" w:fill="auto"/>
        <w:tblLayout w:type="fixed"/>
        <w:tblCellMar>
          <w:top w:w="0" w:type="dxa"/>
          <w:left w:w="0" w:type="dxa"/>
          <w:bottom w:w="0" w:type="dxa"/>
          <w:right w:w="0" w:type="dxa"/>
        </w:tblCellMar>
      </w:tblPr>
      <w:tblGrid>
        <w:gridCol w:w="688"/>
        <w:gridCol w:w="9030"/>
        <w:gridCol w:w="2205"/>
        <w:gridCol w:w="1080"/>
        <w:gridCol w:w="1020"/>
      </w:tblGrid>
      <w:tr>
        <w:tblPrEx>
          <w:shd w:val="clear" w:color="auto" w:fill="auto"/>
          <w:tblCellMar>
            <w:top w:w="0" w:type="dxa"/>
            <w:left w:w="0" w:type="dxa"/>
            <w:bottom w:w="0" w:type="dxa"/>
            <w:right w:w="0" w:type="dxa"/>
          </w:tblCellMar>
        </w:tblPrEx>
        <w:trPr>
          <w:trHeight w:val="645"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序号</w:t>
            </w:r>
          </w:p>
        </w:tc>
        <w:tc>
          <w:tcPr>
            <w:tcW w:w="90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不良行为扣分项内容</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说明</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每次扣分</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扣分</w:t>
            </w:r>
          </w:p>
        </w:tc>
      </w:tr>
      <w:tr>
        <w:tblPrEx>
          <w:shd w:val="clear" w:color="auto" w:fill="auto"/>
          <w:tblCellMar>
            <w:top w:w="0" w:type="dxa"/>
            <w:left w:w="0" w:type="dxa"/>
            <w:bottom w:w="0" w:type="dxa"/>
            <w:right w:w="0" w:type="dxa"/>
          </w:tblCellMar>
        </w:tblPrEx>
        <w:trPr>
          <w:trHeight w:val="275"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I</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48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1.1 </w:t>
            </w:r>
          </w:p>
        </w:tc>
        <w:tc>
          <w:tcPr>
            <w:tcW w:w="9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企业法定代表人、技术负责人因本企业职务行为受到刑事处罚或严重的行政处罚</w:t>
            </w:r>
          </w:p>
        </w:tc>
        <w:tc>
          <w:tcPr>
            <w:tcW w:w="220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1、企业如发生此类不良行为的，信用级别直接降为最低级；</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2、应说明不良行为的具体内容，相应文书、文件的名称或文号等。</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435"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1.2 </w:t>
            </w:r>
          </w:p>
        </w:tc>
        <w:tc>
          <w:tcPr>
            <w:tcW w:w="9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企业或企业的法定代表人、技术负责人受到行业协会公开谴责惩戒</w:t>
            </w:r>
          </w:p>
        </w:tc>
        <w:tc>
          <w:tcPr>
            <w:tcW w:w="22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20"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5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1.3 </w:t>
            </w:r>
          </w:p>
        </w:tc>
        <w:tc>
          <w:tcPr>
            <w:tcW w:w="9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企业出借、借用资质等级证书进行投标或承接造价咨询业务</w:t>
            </w:r>
          </w:p>
        </w:tc>
        <w:tc>
          <w:tcPr>
            <w:tcW w:w="22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20"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465"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1.4 </w:t>
            </w:r>
          </w:p>
        </w:tc>
        <w:tc>
          <w:tcPr>
            <w:tcW w:w="90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企业提供虚假评价材料或拒绝接受造价管理机构、造价协会监督检查，情节严重，经查属实</w:t>
            </w:r>
          </w:p>
        </w:tc>
        <w:tc>
          <w:tcPr>
            <w:tcW w:w="22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20"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43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1.5 </w:t>
            </w:r>
          </w:p>
        </w:tc>
        <w:tc>
          <w:tcPr>
            <w:tcW w:w="9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有法律、法规、规章及行业规定的其他严重违法、违规行为</w:t>
            </w:r>
          </w:p>
        </w:tc>
        <w:tc>
          <w:tcPr>
            <w:tcW w:w="22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365"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II</w:t>
            </w:r>
          </w:p>
        </w:tc>
        <w:tc>
          <w:tcPr>
            <w:tcW w:w="220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59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2.1 </w:t>
            </w:r>
          </w:p>
        </w:tc>
        <w:tc>
          <w:tcPr>
            <w:tcW w:w="903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注册在本企业的职业人员因本企业职务行为受到严重刑事处罚或行政处罚</w:t>
            </w:r>
          </w:p>
        </w:tc>
        <w:tc>
          <w:tcPr>
            <w:tcW w:w="220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1、企业如发生此类不良行为的，按相应条目进行扣分，分值可累计；</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2、不良行为信息根据政府主管部门、造价行业管理机构、造价行业协会记录或经查实的举报、投诉等；</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3、应说明不良行为的具体内容，相应文书、文件的名称或文号等。</w:t>
            </w:r>
          </w:p>
        </w:tc>
        <w:tc>
          <w:tcPr>
            <w:tcW w:w="1080"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575"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2.2 </w:t>
            </w:r>
          </w:p>
        </w:tc>
        <w:tc>
          <w:tcPr>
            <w:tcW w:w="903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由于咨询单位行为过错给委托人造成重大经济损失</w:t>
            </w:r>
          </w:p>
        </w:tc>
        <w:tc>
          <w:tcPr>
            <w:tcW w:w="22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46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2.3 </w:t>
            </w:r>
          </w:p>
        </w:tc>
        <w:tc>
          <w:tcPr>
            <w:tcW w:w="903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在工程造价咨询业务招投标活动中围标、串标，或事先与业主约定设置明显排斥其它潜在投标人的条款</w:t>
            </w:r>
          </w:p>
        </w:tc>
        <w:tc>
          <w:tcPr>
            <w:tcW w:w="22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72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2.4 </w:t>
            </w:r>
          </w:p>
        </w:tc>
        <w:tc>
          <w:tcPr>
            <w:tcW w:w="903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分公司以自己名义承揽工程造价咨询业务、订立工程造价咨询合同、出具工程造价成果文件；超越资质等级或范围承接业务；转包承接的工程造价咨询业务；与当事人签订的工程造价咨询合同存在欺骗性条款</w:t>
            </w:r>
          </w:p>
        </w:tc>
        <w:tc>
          <w:tcPr>
            <w:tcW w:w="22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49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2.5 </w:t>
            </w:r>
          </w:p>
        </w:tc>
        <w:tc>
          <w:tcPr>
            <w:tcW w:w="903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被县级及以上建设行政主管部门、相关行政主管部门、行业管理机构、行业协会处以通报、责令整改或其它处罚</w:t>
            </w:r>
          </w:p>
        </w:tc>
        <w:tc>
          <w:tcPr>
            <w:tcW w:w="22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43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2.6 </w:t>
            </w:r>
          </w:p>
        </w:tc>
        <w:tc>
          <w:tcPr>
            <w:tcW w:w="903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采用弄虚作假等不正当手段承接造价咨询业务；以给予回扣、贿赂等不正当方式承接业务</w:t>
            </w:r>
          </w:p>
        </w:tc>
        <w:tc>
          <w:tcPr>
            <w:tcW w:w="22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645"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2.7 </w:t>
            </w:r>
          </w:p>
        </w:tc>
        <w:tc>
          <w:tcPr>
            <w:tcW w:w="903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违背客观、公正和诚信原则出具工程造价咨询成果报告</w:t>
            </w:r>
          </w:p>
        </w:tc>
        <w:tc>
          <w:tcPr>
            <w:tcW w:w="2205"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1080" w:type="dxa"/>
            <w:tcBorders>
              <w:top w:val="single" w:color="000000"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645"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序号</w:t>
            </w:r>
          </w:p>
        </w:tc>
        <w:tc>
          <w:tcPr>
            <w:tcW w:w="903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不良行为扣分项内容</w:t>
            </w:r>
          </w:p>
        </w:tc>
        <w:tc>
          <w:tcPr>
            <w:tcW w:w="2205" w:type="dxa"/>
            <w:tcBorders>
              <w:top w:val="single" w:color="auto"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b/>
                <w:i w:val="0"/>
                <w:color w:val="000000"/>
                <w:kern w:val="0"/>
                <w:sz w:val="18"/>
                <w:szCs w:val="18"/>
                <w:u w:val="none"/>
                <w:lang w:val="en-US" w:eastAsia="zh-CN" w:bidi="ar"/>
              </w:rPr>
              <w:t>说明</w:t>
            </w:r>
          </w:p>
        </w:tc>
        <w:tc>
          <w:tcPr>
            <w:tcW w:w="1080" w:type="dxa"/>
            <w:tcBorders>
              <w:top w:val="single" w:color="auto"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每次扣分</w:t>
            </w:r>
          </w:p>
        </w:tc>
        <w:tc>
          <w:tcPr>
            <w:tcW w:w="1020"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sz w:val="18"/>
                <w:szCs w:val="18"/>
                <w:u w:val="none"/>
              </w:rPr>
            </w:pPr>
            <w:r>
              <w:rPr>
                <w:rFonts w:hint="eastAsia" w:ascii="宋体" w:hAnsi="宋体" w:eastAsia="宋体" w:cs="宋体"/>
                <w:b/>
                <w:i w:val="0"/>
                <w:color w:val="000000"/>
                <w:kern w:val="0"/>
                <w:sz w:val="18"/>
                <w:szCs w:val="18"/>
                <w:u w:val="none"/>
                <w:lang w:val="en-US" w:eastAsia="zh-CN" w:bidi="ar"/>
              </w:rPr>
              <w:t>扣分</w:t>
            </w:r>
          </w:p>
        </w:tc>
      </w:tr>
      <w:tr>
        <w:tblPrEx>
          <w:shd w:val="clear" w:color="auto" w:fill="auto"/>
          <w:tblCellMar>
            <w:top w:w="0" w:type="dxa"/>
            <w:left w:w="0" w:type="dxa"/>
            <w:bottom w:w="0" w:type="dxa"/>
            <w:right w:w="0" w:type="dxa"/>
          </w:tblCellMar>
        </w:tblPrEx>
        <w:trPr>
          <w:trHeight w:val="645"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2.8 </w:t>
            </w:r>
          </w:p>
        </w:tc>
        <w:tc>
          <w:tcPr>
            <w:tcW w:w="903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泄露、窃取商业或技术秘密</w:t>
            </w:r>
          </w:p>
        </w:tc>
        <w:tc>
          <w:tcPr>
            <w:tcW w:w="2205" w:type="dxa"/>
            <w:vMerge w:val="restart"/>
            <w:tcBorders>
              <w:top w:val="single" w:color="000000"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接上</w:t>
            </w:r>
          </w:p>
        </w:tc>
        <w:tc>
          <w:tcPr>
            <w:tcW w:w="1080" w:type="dxa"/>
            <w:tcBorders>
              <w:top w:val="single" w:color="000000" w:sz="4" w:space="0"/>
              <w:left w:val="single" w:color="000000"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20"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735"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2.9 </w:t>
            </w:r>
          </w:p>
        </w:tc>
        <w:tc>
          <w:tcPr>
            <w:tcW w:w="903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收取合同约定以外的不正当费用</w:t>
            </w:r>
          </w:p>
        </w:tc>
        <w:tc>
          <w:tcPr>
            <w:tcW w:w="2205" w:type="dxa"/>
            <w:vMerge w:val="continue"/>
            <w:tcBorders>
              <w:top w:val="single" w:color="auto" w:sz="4" w:space="0"/>
              <w:left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675"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2.10 </w:t>
            </w:r>
          </w:p>
        </w:tc>
        <w:tc>
          <w:tcPr>
            <w:tcW w:w="903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企业非法用工被投诉查实；企业员工离职后，不给予及时办理劳动合同解除、证书印章变更、人事档案调离的；企业拖欠员工工资和社保；企业职业人员存在挂靠行为</w:t>
            </w:r>
          </w:p>
        </w:tc>
        <w:tc>
          <w:tcPr>
            <w:tcW w:w="2205" w:type="dxa"/>
            <w:vMerge w:val="continue"/>
            <w:tcBorders>
              <w:left w:val="single" w:color="auto"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638"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2.11 </w:t>
            </w:r>
          </w:p>
        </w:tc>
        <w:tc>
          <w:tcPr>
            <w:tcW w:w="903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企业在“信用中国”等权威信用机构有不良信用记录</w:t>
            </w:r>
          </w:p>
        </w:tc>
        <w:tc>
          <w:tcPr>
            <w:tcW w:w="2205" w:type="dxa"/>
            <w:vMerge w:val="continue"/>
            <w:tcBorders>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注：1、同一事项被不同部门处罚或通报，按最高扣分计扣一次。</w:t>
      </w: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Chars="0" w:right="0" w:rightChars="0"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r>
        <w:rPr>
          <w:rFonts w:hint="default" w:asciiTheme="minorEastAsia" w:hAnsiTheme="minorEastAsia" w:eastAsiaTheme="minorEastAsia" w:cstheme="minorEastAsia"/>
          <w:sz w:val="21"/>
          <w:szCs w:val="21"/>
          <w:lang w:val="en-US" w:eastAsia="zh-CN"/>
        </w:rPr>
        <w:t>本表“不良行为”内容和扣分，适用企业（法人），也适用企业的分支机构</w:t>
      </w:r>
      <w:r>
        <w:rPr>
          <w:rFonts w:hint="eastAsia" w:asciiTheme="minorEastAsia" w:hAnsiTheme="minorEastAsia" w:eastAsiaTheme="minorEastAsia" w:cstheme="minorEastAsia"/>
          <w:sz w:val="21"/>
          <w:szCs w:val="21"/>
          <w:lang w:val="en-US" w:eastAsia="zh-CN"/>
        </w:rPr>
        <w:t>。</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lang w:val="en-US" w:eastAsia="zh-CN"/>
        </w:rPr>
      </w:pP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lang w:val="en-US" w:eastAsia="zh-CN"/>
        </w:rPr>
      </w:pPr>
    </w:p>
    <w:p>
      <w:pPr>
        <w:rPr>
          <w:rFonts w:hint="default"/>
          <w:lang w:val="en-US" w:eastAsia="zh-CN"/>
        </w:rPr>
      </w:pPr>
      <w:r>
        <w:rPr>
          <w:rFonts w:hint="default"/>
          <w:lang w:val="en-US" w:eastAsia="zh-CN"/>
        </w:rPr>
        <w:br w:type="page"/>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sz w:val="24"/>
          <w:szCs w:val="24"/>
          <w:lang w:val="en-US" w:eastAsia="zh-CN"/>
        </w:rPr>
      </w:pPr>
      <w:r>
        <w:rPr>
          <w:rFonts w:hint="eastAsia"/>
          <w:sz w:val="24"/>
          <w:szCs w:val="24"/>
          <w:lang w:val="en-US" w:eastAsia="zh-CN"/>
        </w:rPr>
        <w:t>附件2</w:t>
      </w:r>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新宋体" w:hAnsi="新宋体" w:eastAsia="新宋体" w:cs="新宋体"/>
          <w:b/>
          <w:bCs/>
          <w:sz w:val="32"/>
          <w:szCs w:val="32"/>
          <w:lang w:val="en-US" w:eastAsia="zh-CN"/>
        </w:rPr>
      </w:pPr>
      <w:r>
        <w:rPr>
          <w:rFonts w:hint="eastAsia" w:ascii="新宋体" w:hAnsi="新宋体" w:eastAsia="新宋体" w:cs="新宋体"/>
          <w:b/>
          <w:bCs/>
          <w:sz w:val="32"/>
          <w:szCs w:val="32"/>
          <w:lang w:val="en-US" w:eastAsia="zh-CN"/>
        </w:rPr>
        <w:t>省级自定义内容申报材料（电子版）清单</w:t>
      </w:r>
    </w:p>
    <w:tbl>
      <w:tblPr>
        <w:tblStyle w:val="7"/>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3135"/>
        <w:gridCol w:w="4890"/>
        <w:gridCol w:w="5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序号</w:t>
            </w:r>
          </w:p>
        </w:tc>
        <w:tc>
          <w:tcPr>
            <w:tcW w:w="313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评价指标</w:t>
            </w:r>
          </w:p>
        </w:tc>
        <w:tc>
          <w:tcPr>
            <w:tcW w:w="489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说明</w:t>
            </w:r>
          </w:p>
        </w:tc>
        <w:tc>
          <w:tcPr>
            <w:tcW w:w="530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资料清单（电子版）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6" w:hRule="atLeast"/>
        </w:trPr>
        <w:tc>
          <w:tcPr>
            <w:tcW w:w="84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313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i w:val="0"/>
                <w:color w:val="auto"/>
                <w:kern w:val="0"/>
                <w:sz w:val="24"/>
                <w:szCs w:val="24"/>
                <w:u w:val="none"/>
                <w:lang w:val="en-US" w:eastAsia="zh-CN" w:bidi="ar"/>
              </w:rPr>
              <w:t>社会评价，客户对企业的评价</w:t>
            </w:r>
          </w:p>
        </w:tc>
        <w:tc>
          <w:tcPr>
            <w:tcW w:w="489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选取三个1000万元以上项目（尽量满足两个国有资金投资项目，两个结算审核项目）进行客户评价调查，项目类型包括土建、安装、装饰、市政等至少两种，咨询类型包括结算审核、工程量清单及招标控制价编制等。如全部项目都不满足上述条件，由企业自行调整并作说明。</w:t>
            </w:r>
          </w:p>
        </w:tc>
        <w:tc>
          <w:tcPr>
            <w:tcW w:w="5304"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1.项目委托书或合同扫描件；</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2.项目咨询方案或作业计划书扫描件；</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3.造价成果文件（含三级审核意见）扫描件；</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4.委托单位意见表扫描件。</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（每个项目建立以项目名称命名的文件夹，并设立资料清单目录。）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84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w:t>
            </w:r>
          </w:p>
        </w:tc>
        <w:tc>
          <w:tcPr>
            <w:tcW w:w="313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i w:val="0"/>
                <w:color w:val="auto"/>
                <w:kern w:val="0"/>
                <w:sz w:val="24"/>
                <w:szCs w:val="24"/>
                <w:u w:val="none"/>
                <w:lang w:val="en-US" w:eastAsia="zh-CN" w:bidi="ar"/>
              </w:rPr>
              <w:t>造价咨询业务流程管理</w:t>
            </w:r>
          </w:p>
        </w:tc>
        <w:tc>
          <w:tcPr>
            <w:tcW w:w="489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i w:val="0"/>
                <w:color w:val="auto"/>
                <w:kern w:val="0"/>
                <w:sz w:val="24"/>
                <w:szCs w:val="24"/>
                <w:u w:val="none"/>
                <w:lang w:val="en-US" w:eastAsia="zh-CN" w:bidi="ar"/>
              </w:rPr>
              <w:t>同上。</w:t>
            </w:r>
          </w:p>
        </w:tc>
        <w:tc>
          <w:tcPr>
            <w:tcW w:w="5304"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84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3</w:t>
            </w:r>
          </w:p>
        </w:tc>
        <w:tc>
          <w:tcPr>
            <w:tcW w:w="313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i w:val="0"/>
                <w:color w:val="auto"/>
                <w:kern w:val="0"/>
                <w:sz w:val="24"/>
                <w:szCs w:val="24"/>
                <w:u w:val="none"/>
                <w:lang w:val="en-US" w:eastAsia="zh-CN" w:bidi="ar"/>
              </w:rPr>
              <w:t>造价咨询业务成果质量情况</w:t>
            </w:r>
          </w:p>
        </w:tc>
        <w:tc>
          <w:tcPr>
            <w:tcW w:w="489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i w:val="0"/>
                <w:color w:val="auto"/>
                <w:kern w:val="0"/>
                <w:sz w:val="24"/>
                <w:szCs w:val="24"/>
                <w:u w:val="none"/>
                <w:lang w:val="en-US" w:eastAsia="zh-CN" w:bidi="ar"/>
              </w:rPr>
              <w:t>同上。</w:t>
            </w:r>
          </w:p>
        </w:tc>
        <w:tc>
          <w:tcPr>
            <w:tcW w:w="5304"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4</w:t>
            </w:r>
          </w:p>
        </w:tc>
        <w:tc>
          <w:tcPr>
            <w:tcW w:w="313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b w:val="0"/>
                <w:bCs w:val="0"/>
                <w:i w:val="0"/>
                <w:color w:val="auto"/>
                <w:kern w:val="0"/>
                <w:sz w:val="24"/>
                <w:szCs w:val="24"/>
                <w:u w:val="none"/>
                <w:lang w:val="en-US" w:eastAsia="zh-CN" w:bidi="ar"/>
              </w:rPr>
              <w:t>企业及时缴纳各市协会会费</w:t>
            </w:r>
          </w:p>
        </w:tc>
        <w:tc>
          <w:tcPr>
            <w:tcW w:w="489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p>
        </w:tc>
        <w:tc>
          <w:tcPr>
            <w:tcW w:w="530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收据、付款证明等扫描件或电子图片。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trPr>
        <w:tc>
          <w:tcPr>
            <w:tcW w:w="84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5</w:t>
            </w:r>
          </w:p>
        </w:tc>
        <w:tc>
          <w:tcPr>
            <w:tcW w:w="313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b w:val="0"/>
                <w:bCs w:val="0"/>
                <w:i w:val="0"/>
                <w:color w:val="auto"/>
                <w:kern w:val="0"/>
                <w:sz w:val="24"/>
                <w:szCs w:val="24"/>
                <w:u w:val="none"/>
                <w:lang w:val="en-US" w:eastAsia="zh-CN" w:bidi="ar"/>
              </w:rPr>
              <w:t>省协会自律公约签约及执行情况</w:t>
            </w:r>
          </w:p>
        </w:tc>
        <w:tc>
          <w:tcPr>
            <w:tcW w:w="489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b w:val="0"/>
                <w:bCs w:val="0"/>
                <w:i w:val="0"/>
                <w:color w:val="auto"/>
                <w:sz w:val="24"/>
                <w:szCs w:val="24"/>
                <w:u w:val="none"/>
                <w:lang w:val="en-US" w:eastAsia="zh-CN"/>
              </w:rPr>
              <w:t>签约、违约情况从省协会诚信自律系统中核实。</w:t>
            </w:r>
          </w:p>
        </w:tc>
        <w:tc>
          <w:tcPr>
            <w:tcW w:w="530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自律公约签约书（企业、市协会、省协会三方盖章）扫描件。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84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6</w:t>
            </w:r>
          </w:p>
        </w:tc>
        <w:tc>
          <w:tcPr>
            <w:tcW w:w="3135" w:type="dxa"/>
            <w:vAlign w:val="center"/>
          </w:tcPr>
          <w:p>
            <w:pPr>
              <w:keepNext w:val="0"/>
              <w:keepLines w:val="0"/>
              <w:widowControl/>
              <w:suppressLineNumbers w:val="0"/>
              <w:ind w:left="0" w:leftChars="0" w:right="0" w:rightChars="0"/>
              <w:jc w:val="both"/>
              <w:textAlignment w:val="center"/>
              <w:rPr>
                <w:rFonts w:hint="eastAsia" w:ascii="宋体" w:hAnsi="宋体" w:eastAsia="宋体" w:cs="宋体"/>
                <w:color w:val="auto"/>
                <w:sz w:val="24"/>
                <w:szCs w:val="24"/>
                <w:vertAlign w:val="baseline"/>
                <w:lang w:val="en-US" w:eastAsia="zh-CN"/>
              </w:rPr>
            </w:pPr>
            <w:r>
              <w:rPr>
                <w:rFonts w:hint="eastAsia" w:ascii="宋体" w:hAnsi="宋体" w:eastAsia="宋体" w:cs="宋体"/>
                <w:b w:val="0"/>
                <w:bCs w:val="0"/>
                <w:i w:val="0"/>
                <w:color w:val="auto"/>
                <w:kern w:val="0"/>
                <w:sz w:val="24"/>
                <w:szCs w:val="24"/>
                <w:u w:val="none"/>
                <w:lang w:val="en-US" w:eastAsia="zh-CN" w:bidi="ar"/>
              </w:rPr>
              <w:t>参加省市协会组织的技能竞赛、课题研究、文体活动等</w:t>
            </w:r>
          </w:p>
        </w:tc>
        <w:tc>
          <w:tcPr>
            <w:tcW w:w="489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p>
        </w:tc>
        <w:tc>
          <w:tcPr>
            <w:tcW w:w="530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b/>
                <w:bCs/>
                <w:color w:val="auto"/>
                <w:sz w:val="24"/>
                <w:szCs w:val="24"/>
                <w:vertAlign w:val="baseline"/>
                <w:lang w:val="en-US" w:eastAsia="zh-CN"/>
              </w:rPr>
            </w:pPr>
            <w:r>
              <w:rPr>
                <w:rFonts w:hint="eastAsia" w:ascii="宋体" w:hAnsi="宋体" w:eastAsia="宋体" w:cs="宋体"/>
                <w:b w:val="0"/>
                <w:bCs w:val="0"/>
                <w:i w:val="0"/>
                <w:color w:val="auto"/>
                <w:kern w:val="0"/>
                <w:sz w:val="24"/>
                <w:szCs w:val="24"/>
                <w:u w:val="none"/>
                <w:lang w:val="en-US" w:eastAsia="zh-CN" w:bidi="ar"/>
              </w:rPr>
              <w:t>省市协会会刊、网站、公众号</w:t>
            </w:r>
            <w:r>
              <w:rPr>
                <w:rFonts w:hint="eastAsia" w:ascii="宋体" w:hAnsi="宋体" w:eastAsia="宋体" w:cs="宋体"/>
                <w:color w:val="auto"/>
                <w:sz w:val="24"/>
                <w:szCs w:val="24"/>
                <w:vertAlign w:val="baseline"/>
                <w:lang w:val="en-US" w:eastAsia="zh-CN"/>
              </w:rPr>
              <w:t>上相关的活动报道等的扫描件或电子图片。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trPr>
        <w:tc>
          <w:tcPr>
            <w:tcW w:w="84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7</w:t>
            </w:r>
          </w:p>
        </w:tc>
        <w:tc>
          <w:tcPr>
            <w:tcW w:w="3135" w:type="dxa"/>
            <w:vAlign w:val="center"/>
          </w:tcPr>
          <w:p>
            <w:pPr>
              <w:keepNext w:val="0"/>
              <w:keepLines w:val="0"/>
              <w:widowControl/>
              <w:suppressLineNumbers w:val="0"/>
              <w:ind w:left="0" w:leftChars="0" w:right="0" w:rightChars="0"/>
              <w:jc w:val="both"/>
              <w:textAlignment w:val="center"/>
              <w:rPr>
                <w:rFonts w:hint="eastAsia" w:ascii="宋体" w:hAnsi="宋体" w:eastAsia="宋体" w:cs="宋体"/>
                <w:color w:val="auto"/>
                <w:sz w:val="24"/>
                <w:szCs w:val="24"/>
                <w:vertAlign w:val="baseline"/>
                <w:lang w:val="en-US" w:eastAsia="zh-CN"/>
              </w:rPr>
            </w:pPr>
            <w:r>
              <w:rPr>
                <w:rFonts w:hint="eastAsia" w:ascii="宋体" w:hAnsi="宋体" w:eastAsia="宋体" w:cs="宋体"/>
                <w:b w:val="0"/>
                <w:bCs w:val="0"/>
                <w:i w:val="0"/>
                <w:color w:val="auto"/>
                <w:kern w:val="0"/>
                <w:sz w:val="24"/>
                <w:szCs w:val="24"/>
                <w:u w:val="none"/>
                <w:lang w:val="en-US" w:eastAsia="zh-CN" w:bidi="ar"/>
              </w:rPr>
              <w:t>在省市协会会刊、网站、公众号上发表相关的论文、案例、通讯稿等</w:t>
            </w:r>
          </w:p>
        </w:tc>
        <w:tc>
          <w:tcPr>
            <w:tcW w:w="489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p>
        </w:tc>
        <w:tc>
          <w:tcPr>
            <w:tcW w:w="530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b w:val="0"/>
                <w:bCs w:val="0"/>
                <w:i w:val="0"/>
                <w:color w:val="auto"/>
                <w:kern w:val="0"/>
                <w:sz w:val="24"/>
                <w:szCs w:val="24"/>
                <w:u w:val="none"/>
                <w:lang w:val="en-US" w:eastAsia="zh-CN" w:bidi="ar"/>
              </w:rPr>
              <w:t>省市协会会刊、网站、公众号上发表的相关通知、文档等的</w:t>
            </w:r>
            <w:r>
              <w:rPr>
                <w:rFonts w:hint="eastAsia" w:ascii="宋体" w:hAnsi="宋体" w:eastAsia="宋体" w:cs="宋体"/>
                <w:color w:val="auto"/>
                <w:sz w:val="24"/>
                <w:szCs w:val="24"/>
                <w:vertAlign w:val="baseline"/>
                <w:lang w:val="en-US" w:eastAsia="zh-CN"/>
              </w:rPr>
              <w:t>扫描件或电子图片。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trPr>
        <w:tc>
          <w:tcPr>
            <w:tcW w:w="84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8</w:t>
            </w:r>
          </w:p>
        </w:tc>
        <w:tc>
          <w:tcPr>
            <w:tcW w:w="3135" w:type="dxa"/>
            <w:vAlign w:val="center"/>
          </w:tcPr>
          <w:p>
            <w:pPr>
              <w:keepNext w:val="0"/>
              <w:keepLines w:val="0"/>
              <w:widowControl/>
              <w:suppressLineNumbers w:val="0"/>
              <w:ind w:left="0" w:leftChars="0" w:right="0" w:rightChars="0"/>
              <w:jc w:val="both"/>
              <w:textAlignment w:val="center"/>
              <w:rPr>
                <w:rFonts w:hint="eastAsia" w:ascii="宋体" w:hAnsi="宋体" w:eastAsia="宋体" w:cs="宋体"/>
                <w:color w:val="auto"/>
                <w:sz w:val="24"/>
                <w:szCs w:val="24"/>
                <w:vertAlign w:val="baseline"/>
                <w:lang w:val="en-US" w:eastAsia="zh-CN"/>
              </w:rPr>
            </w:pPr>
            <w:r>
              <w:rPr>
                <w:rFonts w:hint="eastAsia" w:ascii="宋体" w:hAnsi="宋体" w:eastAsia="宋体" w:cs="宋体"/>
                <w:b w:val="0"/>
                <w:bCs w:val="0"/>
                <w:i w:val="0"/>
                <w:color w:val="auto"/>
                <w:kern w:val="0"/>
                <w:sz w:val="24"/>
                <w:szCs w:val="24"/>
                <w:u w:val="none"/>
                <w:lang w:val="en-US" w:eastAsia="zh-CN" w:bidi="ar"/>
              </w:rPr>
              <w:t>省市协会公开表彰企业或企业从业人员</w:t>
            </w:r>
          </w:p>
        </w:tc>
        <w:tc>
          <w:tcPr>
            <w:tcW w:w="489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p>
        </w:tc>
        <w:tc>
          <w:tcPr>
            <w:tcW w:w="530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b w:val="0"/>
                <w:bCs w:val="0"/>
                <w:i w:val="0"/>
                <w:color w:val="auto"/>
                <w:kern w:val="0"/>
                <w:sz w:val="24"/>
                <w:szCs w:val="24"/>
                <w:u w:val="none"/>
                <w:lang w:val="en-US" w:eastAsia="zh-CN" w:bidi="ar"/>
              </w:rPr>
              <w:t>省市协会会刊、网站、公众号上发表的相关表彰通知等的</w:t>
            </w:r>
            <w:r>
              <w:rPr>
                <w:rFonts w:hint="eastAsia" w:ascii="宋体" w:hAnsi="宋体" w:eastAsia="宋体" w:cs="宋体"/>
                <w:color w:val="auto"/>
                <w:sz w:val="24"/>
                <w:szCs w:val="24"/>
                <w:vertAlign w:val="baseline"/>
                <w:lang w:val="en-US" w:eastAsia="zh-CN"/>
              </w:rPr>
              <w:t>扫描件或电子图片。</w:t>
            </w:r>
          </w:p>
        </w:tc>
      </w:tr>
    </w:tbl>
    <w:p>
      <w:pPr>
        <w:rPr>
          <w:rFonts w:hint="default"/>
          <w:lang w:val="en-US" w:eastAsia="zh-CN"/>
        </w:rPr>
      </w:pP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sz w:val="24"/>
          <w:szCs w:val="24"/>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宋体" w:hAnsi="宋体" w:eastAsia="微软雅黑" w:cs="宋体"/>
          <w:kern w:val="2"/>
          <w:sz w:val="24"/>
          <w:szCs w:val="24"/>
          <w:lang w:val="en-US" w:eastAsia="zh-CN" w:bidi="ar-SA"/>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Narrow">
    <w:panose1 w:val="020B0606020202030204"/>
    <w:charset w:val="00"/>
    <w:family w:val="auto"/>
    <w:pitch w:val="default"/>
    <w:sig w:usb0="00000287" w:usb1="00000800" w:usb2="00000000" w:usb3="00000000" w:csb0="2000009F" w:csb1="DFD70000"/>
  </w:font>
  <w:font w:name="等线 Light">
    <w:panose1 w:val="02010600030101010101"/>
    <w:charset w:val="86"/>
    <w:family w:val="auto"/>
    <w:pitch w:val="default"/>
    <w:sig w:usb0="A00002BF" w:usb1="38CF7CFA" w:usb2="00000016" w:usb3="00000000" w:csb0="0004000F" w:csb1="00000000"/>
  </w:font>
  <w:font w:name="新宋体">
    <w:panose1 w:val="02010609030101010101"/>
    <w:charset w:val="86"/>
    <w:family w:val="auto"/>
    <w:pitch w:val="default"/>
    <w:sig w:usb0="00000283" w:usb1="288F0000" w:usb2="00000006" w:usb3="00000000" w:csb0="00040001" w:csb1="00000000"/>
  </w:font>
  <w:font w:name="Microsoft YaHei UI Light">
    <w:panose1 w:val="020B0502040204020203"/>
    <w:charset w:val="86"/>
    <w:family w:val="auto"/>
    <w:pitch w:val="default"/>
    <w:sig w:usb0="80000287" w:usb1="2ACF001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Malgun Gothic Semilight">
    <w:panose1 w:val="020B0502040204020203"/>
    <w:charset w:val="86"/>
    <w:family w:val="auto"/>
    <w:pitch w:val="default"/>
    <w:sig w:usb0="900002AF" w:usb1="01D77CFB" w:usb2="00000012" w:usb3="00000000" w:csb0="203E01BD" w:csb1="D7FF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04CB23"/>
    <w:multiLevelType w:val="singleLevel"/>
    <w:tmpl w:val="B704CB23"/>
    <w:lvl w:ilvl="0" w:tentative="0">
      <w:start w:val="1"/>
      <w:numFmt w:val="decimal"/>
      <w:suff w:val="nothing"/>
      <w:lvlText w:val="%1、"/>
      <w:lvlJc w:val="left"/>
    </w:lvl>
  </w:abstractNum>
  <w:abstractNum w:abstractNumId="1">
    <w:nsid w:val="F1F04A47"/>
    <w:multiLevelType w:val="singleLevel"/>
    <w:tmpl w:val="F1F04A47"/>
    <w:lvl w:ilvl="0" w:tentative="0">
      <w:start w:val="1"/>
      <w:numFmt w:val="decimal"/>
      <w:lvlText w:val="%1."/>
      <w:lvlJc w:val="left"/>
      <w:pPr>
        <w:tabs>
          <w:tab w:val="left" w:pos="312"/>
        </w:tabs>
      </w:pPr>
    </w:lvl>
  </w:abstractNum>
  <w:abstractNum w:abstractNumId="2">
    <w:nsid w:val="FF250D9E"/>
    <w:multiLevelType w:val="singleLevel"/>
    <w:tmpl w:val="FF250D9E"/>
    <w:lvl w:ilvl="0" w:tentative="0">
      <w:start w:val="1"/>
      <w:numFmt w:val="decimal"/>
      <w:suff w:val="nothing"/>
      <w:lvlText w:val="%1、"/>
      <w:lvlJc w:val="left"/>
    </w:lvl>
  </w:abstractNum>
  <w:abstractNum w:abstractNumId="3">
    <w:nsid w:val="062873F9"/>
    <w:multiLevelType w:val="singleLevel"/>
    <w:tmpl w:val="062873F9"/>
    <w:lvl w:ilvl="0" w:tentative="0">
      <w:start w:val="2"/>
      <w:numFmt w:val="decimal"/>
      <w:suff w:val="nothing"/>
      <w:lvlText w:val="%1、"/>
      <w:lvlJc w:val="left"/>
      <w:pPr>
        <w:ind w:left="525" w:leftChars="0" w:firstLine="0" w:firstLineChars="0"/>
      </w:pPr>
    </w:lvl>
  </w:abstractNum>
  <w:abstractNum w:abstractNumId="4">
    <w:nsid w:val="535CBB1D"/>
    <w:multiLevelType w:val="singleLevel"/>
    <w:tmpl w:val="535CBB1D"/>
    <w:lvl w:ilvl="0" w:tentative="0">
      <w:start w:val="1"/>
      <w:numFmt w:val="decimal"/>
      <w:suff w:val="nothing"/>
      <w:lvlText w:val="%1、"/>
      <w:lvlJc w:val="left"/>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082AEB"/>
    <w:rsid w:val="0DF14310"/>
    <w:rsid w:val="0E2A7AA1"/>
    <w:rsid w:val="0E553CFC"/>
    <w:rsid w:val="1B131361"/>
    <w:rsid w:val="1C761109"/>
    <w:rsid w:val="2B854794"/>
    <w:rsid w:val="2BC0181F"/>
    <w:rsid w:val="2C895CB8"/>
    <w:rsid w:val="37DC2846"/>
    <w:rsid w:val="38F9053A"/>
    <w:rsid w:val="3AFD1447"/>
    <w:rsid w:val="3B714CCE"/>
    <w:rsid w:val="46152098"/>
    <w:rsid w:val="49E520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1"/>
    <w:pPr>
      <w:spacing w:before="163"/>
      <w:ind w:left="141" w:right="219"/>
      <w:outlineLvl w:val="2"/>
    </w:pPr>
    <w:rPr>
      <w:rFonts w:ascii="宋体" w:hAnsi="宋体" w:eastAsia="宋体" w:cs="宋体"/>
      <w:b/>
      <w:bCs/>
      <w:sz w:val="36"/>
      <w:szCs w:val="36"/>
      <w:lang w:val="zh-CN" w:eastAsia="zh-CN" w:bidi="zh-CN"/>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99"/>
    <w:pPr>
      <w:spacing w:line="460" w:lineRule="atLeast"/>
      <w:ind w:firstLine="420" w:firstLineChars="200"/>
    </w:pPr>
    <w:rPr>
      <w:rFonts w:ascii="Calibri" w:hAnsi="Calibri" w:eastAsia="宋体" w:cs="Times New Roman"/>
      <w:bCs/>
      <w:kern w:val="0"/>
      <w:sz w:val="24"/>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qFormat/>
    <w:uiPriority w:val="0"/>
    <w:rPr>
      <w:color w:val="0000FF"/>
      <w:u w:val="single"/>
    </w:rPr>
  </w:style>
  <w:style w:type="paragraph" w:customStyle="1" w:styleId="10">
    <w:name w:val="Body text|1"/>
    <w:basedOn w:val="1"/>
    <w:qFormat/>
    <w:uiPriority w:val="0"/>
    <w:pPr>
      <w:widowControl w:val="0"/>
      <w:shd w:val="clear" w:color="auto" w:fill="auto"/>
      <w:spacing w:line="346" w:lineRule="auto"/>
      <w:ind w:firstLine="400"/>
    </w:pPr>
    <w:rPr>
      <w:rFonts w:ascii="MingLiU" w:hAnsi="MingLiU" w:eastAsia="MingLiU" w:cs="MingLiU"/>
      <w:sz w:val="20"/>
      <w:szCs w:val="20"/>
      <w:u w:val="none"/>
      <w:shd w:val="clear" w:color="auto" w:fill="auto"/>
      <w:lang w:val="zh-TW" w:eastAsia="zh-TW" w:bidi="zh-TW"/>
    </w:rPr>
  </w:style>
  <w:style w:type="paragraph" w:customStyle="1" w:styleId="11">
    <w:name w:val="正文（无缩进）"/>
    <w:basedOn w:val="1"/>
    <w:qFormat/>
    <w:uiPriority w:val="99"/>
    <w:pPr>
      <w:spacing w:line="460" w:lineRule="atLeast"/>
      <w:ind w:firstLine="480" w:firstLineChars="200"/>
    </w:pPr>
    <w:rPr>
      <w:rFonts w:ascii="Calibri" w:hAnsi="Calibri" w:eastAsia="宋体" w:cs="Times New Roman"/>
      <w:bCs/>
      <w:kern w:val="0"/>
      <w:sz w:val="24"/>
      <w:szCs w:val="21"/>
    </w:rPr>
  </w:style>
  <w:style w:type="character" w:customStyle="1" w:styleId="12">
    <w:name w:val="font51"/>
    <w:basedOn w:val="8"/>
    <w:qFormat/>
    <w:uiPriority w:val="0"/>
    <w:rPr>
      <w:rFonts w:hint="eastAsia" w:ascii="宋体" w:hAnsi="宋体" w:eastAsia="宋体" w:cs="宋体"/>
      <w:color w:val="000000"/>
      <w:sz w:val="20"/>
      <w:szCs w:val="20"/>
      <w:u w:val="none"/>
    </w:rPr>
  </w:style>
  <w:style w:type="character" w:customStyle="1" w:styleId="13">
    <w:name w:val="font61"/>
    <w:basedOn w:val="8"/>
    <w:qFormat/>
    <w:uiPriority w:val="0"/>
    <w:rPr>
      <w:rFonts w:hint="default" w:ascii="Arial Narrow" w:hAnsi="Arial Narrow" w:eastAsia="Arial Narrow" w:cs="Arial Narrow"/>
      <w:color w:val="000000"/>
      <w:sz w:val="20"/>
      <w:szCs w:val="20"/>
      <w:u w:val="none"/>
    </w:rPr>
  </w:style>
  <w:style w:type="character" w:customStyle="1" w:styleId="14">
    <w:name w:val="font81"/>
    <w:basedOn w:val="8"/>
    <w:qFormat/>
    <w:uiPriority w:val="0"/>
    <w:rPr>
      <w:rFonts w:hint="default" w:ascii="Arial Narrow" w:hAnsi="Arial Narrow" w:eastAsia="Arial Narrow" w:cs="Arial Narrow"/>
      <w:color w:val="000000"/>
      <w:sz w:val="20"/>
      <w:szCs w:val="20"/>
      <w:u w:val="none"/>
      <w:vertAlign w:val="subscript"/>
    </w:rPr>
  </w:style>
  <w:style w:type="character" w:customStyle="1" w:styleId="15">
    <w:name w:val="font21"/>
    <w:basedOn w:val="8"/>
    <w:qFormat/>
    <w:uiPriority w:val="0"/>
    <w:rPr>
      <w:rFonts w:hint="eastAsia" w:ascii="宋体" w:hAnsi="宋体" w:eastAsia="宋体" w:cs="宋体"/>
      <w:color w:val="000000"/>
      <w:sz w:val="20"/>
      <w:szCs w:val="20"/>
      <w:u w:val="none"/>
      <w:vertAlign w:val="subscript"/>
    </w:rPr>
  </w:style>
  <w:style w:type="character" w:customStyle="1" w:styleId="16">
    <w:name w:val="font11"/>
    <w:basedOn w:val="8"/>
    <w:qFormat/>
    <w:uiPriority w:val="0"/>
    <w:rPr>
      <w:rFonts w:hint="eastAsia" w:ascii="宋体" w:hAnsi="宋体" w:eastAsia="宋体" w:cs="宋体"/>
      <w:color w:val="000000"/>
      <w:sz w:val="20"/>
      <w:szCs w:val="20"/>
      <w:u w:val="none"/>
    </w:rPr>
  </w:style>
  <w:style w:type="character" w:customStyle="1" w:styleId="17">
    <w:name w:val="font01"/>
    <w:basedOn w:val="8"/>
    <w:qFormat/>
    <w:uiPriority w:val="0"/>
    <w:rPr>
      <w:rFonts w:ascii="等线 Light" w:hAnsi="等线 Light" w:eastAsia="等线 Light" w:cs="等线 Light"/>
      <w:color w:val="000000"/>
      <w:sz w:val="20"/>
      <w:szCs w:val="20"/>
      <w:u w:val="none"/>
    </w:rPr>
  </w:style>
  <w:style w:type="character" w:customStyle="1" w:styleId="18">
    <w:name w:val="font41"/>
    <w:basedOn w:val="8"/>
    <w:qFormat/>
    <w:uiPriority w:val="0"/>
    <w:rPr>
      <w:rFonts w:ascii="等线 Light" w:hAnsi="等线 Light" w:eastAsia="等线 Light" w:cs="等线 Light"/>
      <w:color w:val="000000"/>
      <w:sz w:val="20"/>
      <w:szCs w:val="20"/>
      <w:u w:val="none"/>
    </w:rPr>
  </w:style>
  <w:style w:type="character" w:customStyle="1" w:styleId="19">
    <w:name w:val="font7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116</TotalTime>
  <ScaleCrop>false</ScaleCrop>
  <LinksUpToDate>false</LinksUpToDate>
  <CharactersWithSpaces>0</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2020-05-22T06:22:00Z</dcterms:created>
  <dc:creator>DELL</dc:creator>
  <cp:lastModifiedBy>是小郑呀</cp:lastModifiedBy>
  <dcterms:modified xsi:type="dcterms:W3CDTF">2021-08-02T01:19:04Z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F33E2B848B0349A48D479106E800F1BD</vt:lpwstr>
  </property>
</Properties>
</file>