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cs="方正小标宋简体" w:asciiTheme="majorEastAsia" w:hAnsiTheme="majorEastAsia" w:eastAsiaTheme="majorEastAsia"/>
          <w:color w:val="000000"/>
          <w:kern w:val="0"/>
          <w:sz w:val="28"/>
          <w:szCs w:val="28"/>
        </w:rPr>
      </w:pPr>
      <w:r>
        <w:rPr>
          <w:rFonts w:hint="eastAsia" w:cs="方正小标宋简体" w:asciiTheme="majorEastAsia" w:hAnsiTheme="majorEastAsia" w:eastAsiaTheme="majorEastAsia"/>
          <w:color w:val="000000"/>
          <w:kern w:val="0"/>
          <w:sz w:val="28"/>
          <w:szCs w:val="28"/>
        </w:rPr>
        <w:t>附件4</w:t>
      </w:r>
    </w:p>
    <w:p>
      <w:pPr>
        <w:jc w:val="center"/>
        <w:rPr>
          <w:rFonts w:ascii="仿宋_GB2312" w:hAnsi="宋体" w:eastAsia="仿宋_GB2312" w:cs="仿宋_GB2312"/>
          <w:color w:val="000000"/>
          <w:kern w:val="0"/>
          <w:sz w:val="28"/>
          <w:szCs w:val="28"/>
        </w:rPr>
      </w:pPr>
      <w:r>
        <w:rPr>
          <w:rFonts w:cs="方正小标宋简体" w:asciiTheme="majorEastAsia" w:hAnsiTheme="majorEastAsia" w:eastAsiaTheme="majorEastAsia"/>
          <w:color w:val="000000"/>
          <w:kern w:val="0"/>
          <w:sz w:val="36"/>
          <w:szCs w:val="36"/>
        </w:rPr>
        <w:t>浙江省工程造价咨询企业成果质量检查评分表</w:t>
      </w:r>
      <w:r>
        <w:rPr>
          <w:rFonts w:hint="eastAsia" w:cs="方正小标宋简体" w:asciiTheme="majorEastAsia" w:hAnsiTheme="majorEastAsia" w:eastAsiaTheme="majorEastAsia"/>
          <w:color w:val="000000"/>
          <w:kern w:val="0"/>
          <w:sz w:val="36"/>
          <w:szCs w:val="36"/>
        </w:rPr>
        <w:t>（工程量清单和招标控制价编制）</w:t>
      </w:r>
      <w:r>
        <w:rPr>
          <w:rFonts w:hint="eastAsia" w:cs="方正小标宋简体" w:asciiTheme="majorEastAsia" w:hAnsiTheme="majorEastAsia" w:eastAsiaTheme="majorEastAsia"/>
          <w:color w:val="000000"/>
          <w:kern w:val="0"/>
          <w:sz w:val="36"/>
          <w:szCs w:val="36"/>
        </w:rPr>
        <w:tab/>
      </w:r>
      <w:r>
        <w:rPr>
          <w:rFonts w:hint="eastAsia" w:cs="方正小标宋简体" w:asciiTheme="majorEastAsia" w:hAnsiTheme="majorEastAsia" w:eastAsiaTheme="majorEastAsia"/>
          <w:color w:val="000000"/>
          <w:kern w:val="0"/>
          <w:sz w:val="36"/>
          <w:szCs w:val="36"/>
        </w:rPr>
        <w:tab/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ab/>
      </w:r>
    </w:p>
    <w:p>
      <w:pPr>
        <w:rPr>
          <w:rFonts w:ascii="仿宋_GB2312" w:hAnsi="宋体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企业名称：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ab/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ab/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 xml:space="preserve">                                         项目名称：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ab/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ab/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ab/>
      </w:r>
    </w:p>
    <w:p>
      <w:pPr>
        <w:rPr>
          <w:rFonts w:ascii="楷体" w:hAnsi="楷体" w:eastAsia="楷体" w:cs="楷体"/>
          <w:color w:val="000000"/>
          <w:kern w:val="0"/>
          <w:szCs w:val="21"/>
        </w:rPr>
      </w:pPr>
      <w:r>
        <w:rPr>
          <w:rFonts w:hint="eastAsia" w:ascii="楷体" w:hAnsi="楷体" w:eastAsia="楷体" w:cs="楷体"/>
          <w:color w:val="000000"/>
          <w:kern w:val="0"/>
          <w:szCs w:val="21"/>
        </w:rPr>
        <w:t>本评分表满分为100分，无扣分行为的，得满分。凡有以下行为的，按各项标准扣分，每项扣分不超过扣分上限。</w:t>
      </w:r>
    </w:p>
    <w:tbl>
      <w:tblPr>
        <w:tblStyle w:val="5"/>
        <w:tblW w:w="15630" w:type="dxa"/>
        <w:tblInd w:w="-78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7"/>
        <w:gridCol w:w="5580"/>
        <w:gridCol w:w="258"/>
        <w:gridCol w:w="3491"/>
        <w:gridCol w:w="1180"/>
        <w:gridCol w:w="2920"/>
        <w:gridCol w:w="176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序号</w:t>
            </w:r>
          </w:p>
        </w:tc>
        <w:tc>
          <w:tcPr>
            <w:tcW w:w="58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评分标准</w:t>
            </w:r>
          </w:p>
        </w:tc>
        <w:tc>
          <w:tcPr>
            <w:tcW w:w="34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有关说明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扣分上限</w:t>
            </w:r>
          </w:p>
        </w:tc>
        <w:tc>
          <w:tcPr>
            <w:tcW w:w="2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具体情况</w:t>
            </w:r>
          </w:p>
        </w:tc>
        <w:tc>
          <w:tcPr>
            <w:tcW w:w="17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本项目扣分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一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工程量清单编制是否规范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20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4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不按计价规范进行项目划分，清单该分列不分列的，不该分列却分列的；措施项目工程量未按要求提供的；发现的项目数占总项目数比在1%以下扣1分；1%至5%的扣2分；5%至10%扣3分；10%-20%扣4分，20%及以上扣5分。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抽查项目评分时，通常按单位工程计算，如果单位工程中既有建筑又有安装、市政、园林等，仅抽查其中的建筑或安装。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2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 xml:space="preserve">工程量清单项目特征描述不全或错误的，发现一处扣1分。 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同一个问题，算一处，不重复扣分。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3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工程量清单的项目名称、计量单位、项目编码等不符合计价规范的，</w:t>
            </w: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且无理由无说明的，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每发现一处扣1分。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如果整个项目完全修改了清单计算规则，不能提供合理的依据，此项不得分。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4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工程量清单项目漏项、错项的，每发现一处扣2分。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二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取费是否符合规定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10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5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税金错误的，扣2分。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2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6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安全文明施工费、规费等费用计算不符合规定的，每发现一处扣2分。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8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8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7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企业管理费、利润、风险费、按费率计算措施费、总承包服务费、甲供材料费等费用存在遗漏或计价程序、取费基数、费率出现错误的，每发现一处扣1分。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10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序号</w:t>
            </w:r>
          </w:p>
        </w:tc>
        <w:tc>
          <w:tcPr>
            <w:tcW w:w="58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评分标准</w:t>
            </w:r>
          </w:p>
        </w:tc>
        <w:tc>
          <w:tcPr>
            <w:tcW w:w="34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有关说明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扣分上限</w:t>
            </w:r>
          </w:p>
        </w:tc>
        <w:tc>
          <w:tcPr>
            <w:tcW w:w="2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具体情况</w:t>
            </w:r>
          </w:p>
        </w:tc>
        <w:tc>
          <w:tcPr>
            <w:tcW w:w="17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本项目扣分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三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主要分部分项与措施项目造价是否合理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40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8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套用定额出现错、漏、重，定额换算不完整不准确，定额工程量差错的，每发现一处扣3分。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同一个问题，算一处，不重复扣分。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9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措施项目不齐全，采用的施工方案无法满足施工要求的，每发现一处扣2分。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10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人工单价、施工机械单价未执行信息价的，每一单价扣2分。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同一个问题，算一处，不重复扣分。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10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11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主要材料价格无出处（信息价或询价记录），</w:t>
            </w: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且无取定依据说明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，或相同材料价格不一致却未作说明的，每一价格扣2分。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对新材料、新技术、无价材料、常用材料但信息价未发发布时，需有询价记录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10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四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编制说明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15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12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成果文件编制说明应按照本省操作规程及质量导则要求，未说明或表述不清的，每项扣1分。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清单与控制价出现相同错误的不重复扣分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13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编制说明与工程量清单或控制价不符的，每发现一处扣1分。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8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14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对设计图纸未明确的内容进行估算，未在编制说明中描述的，每发现一处扣1分。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序号</w:t>
            </w:r>
          </w:p>
        </w:tc>
        <w:tc>
          <w:tcPr>
            <w:tcW w:w="58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评分标准</w:t>
            </w:r>
          </w:p>
        </w:tc>
        <w:tc>
          <w:tcPr>
            <w:tcW w:w="34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有关说明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扣分上限</w:t>
            </w:r>
          </w:p>
        </w:tc>
        <w:tc>
          <w:tcPr>
            <w:tcW w:w="2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具体情况</w:t>
            </w:r>
          </w:p>
        </w:tc>
        <w:tc>
          <w:tcPr>
            <w:tcW w:w="17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本项目扣分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五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报告质量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15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报告书封面、目录、正文、成果文件必备的内容每缺一项扣0.5分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1.5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16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咨询报告书中工程概况、编制范围、编审计价依据、编制金额、编制口径具体说明，每缺一项扣0.5分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1.5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17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（1）报告书封面未盖企业执业专用章，扣1分；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1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（2）报告书落款必须有审核人、审定人签字、盖执业章，单位盖公章，每缺1项扣0.5分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（因一般项目负责人为审核人，如有三级复核单就可以，系统打印也行）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1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六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档案管理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18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（1）档案内容包括咨询成果文件、底稿、咨询依据文件、流程文件、成果文件电子档等，每缺一项扣0.5分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2.5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（2）档案文件规范、装订顺序符合要求、签章齐全，不符合要求每处扣0.5分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2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（3）应在归定的期限内归档完毕，无理由超过规定期限扣0.5分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0.5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七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总造价偏差情况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19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各项误差绝对值累计影响总造价2%以内的不扣分，超过的每增加0.1%扣0.5分。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序号</w:t>
            </w:r>
          </w:p>
        </w:tc>
        <w:tc>
          <w:tcPr>
            <w:tcW w:w="584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评分标准</w:t>
            </w:r>
          </w:p>
        </w:tc>
        <w:tc>
          <w:tcPr>
            <w:tcW w:w="34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有关说明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扣分上限</w:t>
            </w:r>
          </w:p>
        </w:tc>
        <w:tc>
          <w:tcPr>
            <w:tcW w:w="2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具体情况</w:t>
            </w:r>
          </w:p>
        </w:tc>
        <w:tc>
          <w:tcPr>
            <w:tcW w:w="17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本项目扣分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八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有下列情形之一的，直接判定该咨询成果文件不合格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20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 xml:space="preserve">没有图纸、没有计算底稿； 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特殊项目有委托方相关说明或者实施方案的除外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21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严重违背“工程量清单计价规范”的强制性标准及国家、本省建设管理部门有关工程计价规定的；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22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出具有虚假记载、误导性陈述的工程造价成果文件的（同时依照住房和城乡建设部令第16号《建筑工程施工发包与承包计价管理办法》第二十三条进行处罚）；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23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编制计价方式与现行行业主管部门发布的计价方式相背离的。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2"/>
                <w:szCs w:val="22"/>
              </w:rPr>
              <w:t>　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24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采用招标人发布的工程量清单，单独编制招标控制价的，招标控制价的综合误差率大于3%。同时编制工程量清单的招标控制价的，招标控制价的综合误差率大于5%。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584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最后得分</w:t>
            </w:r>
          </w:p>
        </w:tc>
        <w:tc>
          <w:tcPr>
            <w:tcW w:w="3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2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0" w:hRule="atLeast"/>
        </w:trPr>
        <w:tc>
          <w:tcPr>
            <w:tcW w:w="1563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其他需要说明的问题：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</w:p>
        </w:tc>
        <w:tc>
          <w:tcPr>
            <w:tcW w:w="5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企业负责人签名：</w:t>
            </w:r>
          </w:p>
        </w:tc>
        <w:tc>
          <w:tcPr>
            <w:tcW w:w="3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ind w:firstLine="1320" w:firstLineChars="600"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专家签名：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  <w:szCs w:val="22"/>
              </w:rPr>
            </w:pPr>
          </w:p>
        </w:tc>
      </w:tr>
    </w:tbl>
    <w:p>
      <w:pPr>
        <w:widowControl/>
        <w:adjustRightInd w:val="0"/>
        <w:snapToGrid w:val="0"/>
        <w:jc w:val="left"/>
        <w:textAlignment w:val="center"/>
      </w:pPr>
      <w:bookmarkStart w:id="0" w:name="_GoBack"/>
      <w:bookmarkEnd w:id="0"/>
    </w:p>
    <w:sectPr>
      <w:pgSz w:w="16838" w:h="11906" w:orient="landscape"/>
      <w:pgMar w:top="960" w:right="1440" w:bottom="106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F741A0"/>
    <w:rsid w:val="00057820"/>
    <w:rsid w:val="0016419D"/>
    <w:rsid w:val="001B5A70"/>
    <w:rsid w:val="00227823"/>
    <w:rsid w:val="00252D00"/>
    <w:rsid w:val="00284D80"/>
    <w:rsid w:val="004150FD"/>
    <w:rsid w:val="0057792A"/>
    <w:rsid w:val="005E39C7"/>
    <w:rsid w:val="006C66FB"/>
    <w:rsid w:val="0087242A"/>
    <w:rsid w:val="009607F4"/>
    <w:rsid w:val="00993E00"/>
    <w:rsid w:val="00A44855"/>
    <w:rsid w:val="00AC2362"/>
    <w:rsid w:val="00AD7F80"/>
    <w:rsid w:val="00B25315"/>
    <w:rsid w:val="00BC2F88"/>
    <w:rsid w:val="00C557D1"/>
    <w:rsid w:val="00C85CCD"/>
    <w:rsid w:val="00CA7CAE"/>
    <w:rsid w:val="00CD545B"/>
    <w:rsid w:val="00D748D2"/>
    <w:rsid w:val="00DA4A3A"/>
    <w:rsid w:val="00DC51C4"/>
    <w:rsid w:val="00E65FA9"/>
    <w:rsid w:val="00E82029"/>
    <w:rsid w:val="00ED596A"/>
    <w:rsid w:val="00F741E8"/>
    <w:rsid w:val="01CF63FD"/>
    <w:rsid w:val="01E773E6"/>
    <w:rsid w:val="02952131"/>
    <w:rsid w:val="095A21F6"/>
    <w:rsid w:val="0B336143"/>
    <w:rsid w:val="0C853C1A"/>
    <w:rsid w:val="11FD1935"/>
    <w:rsid w:val="12665E89"/>
    <w:rsid w:val="15742030"/>
    <w:rsid w:val="17BC186E"/>
    <w:rsid w:val="17BD17D4"/>
    <w:rsid w:val="191B2C7B"/>
    <w:rsid w:val="1E153134"/>
    <w:rsid w:val="1E4A4F4B"/>
    <w:rsid w:val="1F844DA5"/>
    <w:rsid w:val="31E67BB9"/>
    <w:rsid w:val="36D536BF"/>
    <w:rsid w:val="384030B8"/>
    <w:rsid w:val="387E756B"/>
    <w:rsid w:val="39173DBE"/>
    <w:rsid w:val="3C290F77"/>
    <w:rsid w:val="3D0A38F3"/>
    <w:rsid w:val="42912E50"/>
    <w:rsid w:val="462322A3"/>
    <w:rsid w:val="47273D94"/>
    <w:rsid w:val="485F10CC"/>
    <w:rsid w:val="509907B6"/>
    <w:rsid w:val="5A3A5C7B"/>
    <w:rsid w:val="5FB03781"/>
    <w:rsid w:val="64D260B0"/>
    <w:rsid w:val="6A447E62"/>
    <w:rsid w:val="6C8E5E1F"/>
    <w:rsid w:val="72B95D32"/>
    <w:rsid w:val="732A4DB1"/>
    <w:rsid w:val="73EF09FA"/>
    <w:rsid w:val="76F45FF6"/>
    <w:rsid w:val="7CF741A0"/>
    <w:rsid w:val="7E5B42F3"/>
    <w:rsid w:val="7F59235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font121"/>
    <w:basedOn w:val="6"/>
    <w:qFormat/>
    <w:uiPriority w:val="0"/>
    <w:rPr>
      <w:rFonts w:hint="default" w:ascii="仿宋_GB2312" w:eastAsia="仿宋_GB2312" w:cs="仿宋_GB2312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9</Pages>
  <Words>634</Words>
  <Characters>3617</Characters>
  <Lines>30</Lines>
  <Paragraphs>8</Paragraphs>
  <TotalTime>31</TotalTime>
  <ScaleCrop>false</ScaleCrop>
  <LinksUpToDate>false</LinksUpToDate>
  <CharactersWithSpaces>4243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2021-10-19T06:30:00Z</dcterms:created>
  <dc:creator>虚实</dc:creator>
  <cp:lastModifiedBy>鱼小姐</cp:lastModifiedBy>
  <cp:lastPrinted>2021-10-26T06:34:00Z</cp:lastPrinted>
  <dcterms:modified xsi:type="dcterms:W3CDTF">2021-10-27T06:44:31Z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EFB6024324C340AEA57950F0B3BE30A3</vt:lpwstr>
  </property>
</Properties>
</file>