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Fonts w:cs="Arial" w:asciiTheme="minorEastAsia" w:hAnsiTheme="minorEastAsia"/>
          <w:b/>
          <w:bCs/>
          <w:smallCaps/>
          <w:sz w:val="36"/>
          <w:szCs w:val="36"/>
        </w:rPr>
      </w:pPr>
      <w:r>
        <w:rPr>
          <w:rFonts w:hint="eastAsia" w:cs="Arial" w:asciiTheme="minorEastAsia" w:hAnsiTheme="minorEastAsia"/>
          <w:b/>
          <w:bCs/>
          <w:smallCaps/>
          <w:sz w:val="36"/>
          <w:szCs w:val="36"/>
        </w:rPr>
        <w:t>浙江省建设工程造价市场管理专家库管理办法</w:t>
      </w:r>
    </w:p>
    <w:p>
      <w:pPr>
        <w:widowControl/>
        <w:adjustRightInd w:val="0"/>
        <w:spacing w:line="360" w:lineRule="auto"/>
        <w:ind w:firstLine="630" w:firstLineChars="196"/>
        <w:jc w:val="center"/>
        <w:rPr>
          <w:rFonts w:ascii="仿宋_GB2312" w:hAnsi="仿宋" w:eastAsia="仿宋_GB2312" w:cs="Arial"/>
          <w:b/>
          <w:bCs/>
          <w:kern w:val="0"/>
          <w:sz w:val="32"/>
          <w:szCs w:val="32"/>
        </w:rPr>
      </w:pPr>
    </w:p>
    <w:p>
      <w:pPr>
        <w:pStyle w:val="4"/>
        <w:widowControl/>
        <w:numPr>
          <w:ilvl w:val="0"/>
          <w:numId w:val="1"/>
        </w:numPr>
        <w:adjustRightInd w:val="0"/>
        <w:spacing w:line="360" w:lineRule="auto"/>
        <w:ind w:firstLineChars="0"/>
        <w:jc w:val="center"/>
        <w:rPr>
          <w:rFonts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 则</w:t>
      </w:r>
    </w:p>
    <w:p>
      <w:pPr>
        <w:spacing w:line="570" w:lineRule="exact"/>
        <w:ind w:firstLine="643" w:firstLineChars="200"/>
        <w:rPr>
          <w:rFonts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第一条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为深化浙江省建设工程造价行业改革，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充分发挥高层次专业人才在建设工程造价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策研究和技术指导方面作用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规范建设工程造价市场管理专家队伍建设，促进建设工程造价行业高质量发展，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根据《浙江省建设工程造价管理办法》（省政府378号令）、《浙江省工程造价改革实施意见》(浙建建发〔2020〕69号)等文件精神，结合本省实际，制定本办法。</w:t>
      </w:r>
    </w:p>
    <w:p>
      <w:pPr>
        <w:spacing w:line="570" w:lineRule="exact"/>
        <w:ind w:firstLine="643" w:firstLineChars="200"/>
        <w:rPr>
          <w:rFonts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本办法适用于浙江省建设工程造价市场管理专家库专家的申请、遴选、聘任、发布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日常管理工作。</w:t>
      </w:r>
    </w:p>
    <w:p>
      <w:pPr>
        <w:spacing w:line="570" w:lineRule="exact"/>
        <w:ind w:firstLine="643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浙江省建设工程造价市场管理专家库（以下简称专家库）由浙江省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建设工程造价管理总站统一管理。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1"/>
        </w:numPr>
        <w:adjustRightInd w:val="0"/>
        <w:spacing w:line="360" w:lineRule="auto"/>
        <w:ind w:firstLineChars="0"/>
        <w:jc w:val="center"/>
        <w:rPr>
          <w:rFonts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专家库分类</w:t>
      </w:r>
    </w:p>
    <w:p>
      <w:pPr>
        <w:tabs>
          <w:tab w:val="center" w:pos="3408"/>
          <w:tab w:val="left" w:pos="6096"/>
        </w:tabs>
        <w:spacing w:line="360" w:lineRule="auto"/>
        <w:ind w:firstLine="630" w:firstLineChars="196"/>
        <w:rPr>
          <w:rFonts w:ascii="仿宋_GB2312" w:hAnsi="仿宋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专家库实施分类别、分专业登记管理，具体类别如下（各类别均包含土木建筑、安装、装饰、市政、园林绿化、轨道交通、仿古建筑等专业</w:t>
      </w:r>
      <w:r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0" w:lineRule="exact"/>
        <w:ind w:firstLine="640" w:firstLineChars="200"/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（一）造价市场管理政策制定：参与建设工程造价市场管理相关规章制度和政策制定、</w:t>
      </w:r>
      <w:r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课题研究及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人才培训等</w:t>
      </w:r>
      <w:r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工作。</w:t>
      </w:r>
    </w:p>
    <w:p>
      <w:pPr>
        <w:spacing w:line="570" w:lineRule="exact"/>
        <w:ind w:firstLine="640" w:firstLineChars="200"/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（二）造价市场行为检查评审：参与建设工程造价咨询行业咨询成果质量检查、评审工作。</w:t>
      </w:r>
    </w:p>
    <w:p>
      <w:pPr>
        <w:spacing w:line="570" w:lineRule="exact"/>
        <w:ind w:firstLine="640" w:firstLineChars="200"/>
        <w:rPr>
          <w:rFonts w:hint="default" w:ascii="仿宋_GB2312" w:hAnsi="黑体" w:eastAsia="仿宋_GB2312" w:cs="Arial"/>
          <w:bCs/>
          <w:smallCap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（三）二级造价工程师考试阅卷：参与浙江省二级造价工程师考试阅卷工作。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因保密要求，该类别专家名单不对外公布。</w:t>
      </w:r>
    </w:p>
    <w:p>
      <w:pPr>
        <w:spacing w:line="570" w:lineRule="exact"/>
        <w:ind w:firstLine="640" w:firstLineChars="200"/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（四）造价法律咨询：参与为建设工程造价咨询企业和从业人员提供法律咨询工作。</w:t>
      </w:r>
    </w:p>
    <w:p>
      <w:pPr>
        <w:widowControl/>
        <w:adjustRightInd w:val="0"/>
        <w:spacing w:line="360" w:lineRule="auto"/>
        <w:ind w:firstLine="643" w:firstLineChars="200"/>
        <w:jc w:val="left"/>
        <w:rPr>
          <w:rFonts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pacing w:line="360" w:lineRule="auto"/>
        <w:jc w:val="center"/>
        <w:rPr>
          <w:rFonts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第三章 专家聘任条件和程序</w:t>
      </w:r>
    </w:p>
    <w:p>
      <w:pPr>
        <w:widowControl/>
        <w:adjustRightInd w:val="0"/>
        <w:spacing w:line="360" w:lineRule="auto"/>
        <w:ind w:firstLine="643" w:firstLineChars="200"/>
        <w:jc w:val="left"/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建设工程造价管理机构、建设、设计、施工、监理、咨询、招标代理、科研院所、高等院校、行业协会、律师事务所等单位从事建设工程造价工作的专业人员均可申请。</w:t>
      </w:r>
    </w:p>
    <w:p>
      <w:pPr>
        <w:widowControl/>
        <w:adjustRightInd w:val="0"/>
        <w:spacing w:line="360" w:lineRule="auto"/>
        <w:ind w:firstLine="643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申请专家库专家应当具备以下基本条件：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65周岁以下，身体健康，具有良好的政治素养和职业道德，诚实守信，作风正派，心系行业发展，愿为行业发展建言献策，能够认真、公正、廉洁地履行职责。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建设工程造价管理机构的专业技术人员需从事工程造价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相关专业工作10年以上，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具有工程或工程经济类中级及以上专业技术职称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熟悉建设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工程造价相关法律法规、行业政策和计价依据。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建设、设计、施工、监理、咨询、招标代理、科研院所、高等院校、行业协会等单位的专业技术人员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需从事工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程造价等相关专业工作10年以上，具有工程或工程经济类中级及以上专业技术职称，并持有一级注册造价工程师职业资格，具备扎实的专业基础知识和丰富的工程实践经验，在相关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行业有一定的影响力。</w:t>
      </w:r>
    </w:p>
    <w:p>
      <w:pPr>
        <w:spacing w:line="57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（四）律师事务所从事工程法律专业人员需从事相关工作15年以上，具备法律职业资格证书，并对工程合同方面法律有一定研究和实际经验。</w:t>
      </w:r>
    </w:p>
    <w:p>
      <w:pPr>
        <w:spacing w:line="570" w:lineRule="exact"/>
        <w:ind w:firstLine="643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有以下情形之一，不应聘为专家库专家：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（一）曾受过刑事处罚；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（二）因违法违纪行为被辞退；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（三）被吊销职业资格证书或注册证书；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（四）有弄虚作假、欺诈等失信行为；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（五）有其他违法违规行为。</w:t>
      </w:r>
    </w:p>
    <w:p>
      <w:pPr>
        <w:widowControl/>
        <w:adjustRightInd w:val="0"/>
        <w:spacing w:line="360" w:lineRule="auto"/>
        <w:ind w:firstLine="643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专家库的专家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申请、定向邀请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种方式：</w:t>
      </w:r>
    </w:p>
    <w:p>
      <w:pPr>
        <w:pStyle w:val="5"/>
        <w:numPr>
          <w:ilvl w:val="0"/>
          <w:numId w:val="3"/>
        </w:numPr>
        <w:overflowPunct w:val="0"/>
        <w:spacing w:line="360" w:lineRule="auto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个人申请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/>
          <w:sz w:val="32"/>
          <w:szCs w:val="32"/>
        </w:rPr>
        <w:t>采取个人申请和单位推荐相结合的方式，</w:t>
      </w:r>
      <w:r>
        <w:rPr>
          <w:rFonts w:hint="eastAsia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申请人提出申请，如实填写《浙江省建设工程造价市场管理专家库专家申请表》，并提供学历证书、职称证书、注册证书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职业资格证书、身份证、典型业绩和获得荣誉等证明材料。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所在单位对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申请人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是否符合推荐要求，递交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的材料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是否真实进行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审核并盖章，落实推荐责任后上报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overflowPunct w:val="0"/>
        <w:spacing w:line="360" w:lineRule="auto"/>
        <w:ind w:firstLine="640" w:firstLineChars="200"/>
        <w:rPr>
          <w:rFonts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（二）定向邀请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为提高专家库质量，对个人尚未提出申请但符合条件的高层次和稀缺专业技术人员，由浙江省建设工程造价管理总站发函邀请入库。</w:t>
      </w:r>
    </w:p>
    <w:p>
      <w:pPr>
        <w:spacing w:line="570" w:lineRule="exact"/>
        <w:ind w:firstLine="643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第九条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浙江省建设工程造价管理总站负责组织对申请人材料进行审核、择优选取、</w:t>
      </w: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向社会公布专家库名单、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颁发专家聘任证书，</w:t>
      </w: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接受社会监督。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仿宋" w:eastAsia="仿宋_GB2312" w:cs="Arial"/>
          <w:color w:val="FF0000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ind w:firstLine="643" w:firstLineChars="200"/>
        <w:jc w:val="center"/>
        <w:rPr>
          <w:rFonts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第四章 专家权利和义务</w:t>
      </w:r>
    </w:p>
    <w:p>
      <w:pPr>
        <w:spacing w:line="570" w:lineRule="exact"/>
        <w:ind w:firstLine="643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专家享有以下权利：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（一）对浙江省建设</w:t>
      </w: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工程造价行业发展提出工作意见和建议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参加相关活动时</w:t>
      </w: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不受任何部门、单位和个人的干预和影响，充分发表个人意见，并享有保留个人意见和建议的权利；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（三）按照相关规定获取</w:t>
      </w: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合法劳务报酬；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（四）免费参加省建设工程造价管理机构组织的培训和讲座；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（五）按照相关规定获得继续教育学时；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自愿申请退出专家库；</w:t>
      </w:r>
    </w:p>
    <w:p>
      <w:pPr>
        <w:spacing w:line="57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（七）法律法规规定的其他权利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0" w:lineRule="exact"/>
        <w:ind w:firstLine="643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专家履行以下义务：</w:t>
      </w:r>
    </w:p>
    <w:p>
      <w:pPr>
        <w:numPr>
          <w:ilvl w:val="0"/>
          <w:numId w:val="4"/>
        </w:num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遵守法律法规，遵守职业道德；</w:t>
      </w:r>
    </w:p>
    <w:p>
      <w:pPr>
        <w:numPr>
          <w:ilvl w:val="0"/>
          <w:numId w:val="4"/>
        </w:num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认真履行专家职能，服从统一安排；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（三）保证客观、公平、公正，对出具的专家意见及相关工作结果负责；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（四）严格执行回避制度，在开展专家工作时可能会影响公平、公正的情况，应主动提出回避；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（五）严格遵守保密规定，不泄露商业秘密或利用掌握的商业秘密牟利，自觉接受社会监督；</w:t>
      </w:r>
    </w:p>
    <w:p>
      <w:pPr>
        <w:spacing w:line="57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（六）严格遵守廉政纪律，不得索取或收受任何形式的馈赠，不得弄虚作假、徇私舞弊；在开展专家工作期间，不得与有利害关系人进行私下接触，不得收受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利害关系人的财物和其他好处；专家因个人违法违规行为给有关单位造成损失的，由个人承担相应的民事责任；构成犯罪的，移送司法机关追究刑事责任。</w:t>
      </w:r>
    </w:p>
    <w:p>
      <w:pPr>
        <w:widowControl/>
        <w:adjustRightInd w:val="0"/>
        <w:spacing w:line="360" w:lineRule="auto"/>
        <w:ind w:firstLine="630" w:firstLineChars="196"/>
        <w:jc w:val="center"/>
        <w:rPr>
          <w:rFonts w:ascii="仿宋_GB2312" w:hAnsi="黑体" w:eastAsia="仿宋_GB2312" w:cs="Arial"/>
          <w:b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pacing w:line="360" w:lineRule="auto"/>
        <w:ind w:firstLine="630" w:firstLineChars="196"/>
        <w:jc w:val="center"/>
        <w:rPr>
          <w:rFonts w:ascii="仿宋_GB2312" w:hAnsi="黑体" w:eastAsia="仿宋_GB2312" w:cs="Arial"/>
          <w:b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第五章 专家库管理</w:t>
      </w:r>
    </w:p>
    <w:p>
      <w:pPr>
        <w:spacing w:line="570" w:lineRule="exact"/>
        <w:ind w:firstLine="643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第十二条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专家库专家按照“自愿、择优、公开”的原则进行动态管理，根据造价管理工作需要，适时优化，原则上两年调整一次。</w:t>
      </w:r>
    </w:p>
    <w:p>
      <w:pPr>
        <w:spacing w:line="560" w:lineRule="exact"/>
        <w:ind w:firstLine="643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有以下情形之一，取消专家库专家资格：</w:t>
      </w:r>
    </w:p>
    <w:p>
      <w:pPr>
        <w:widowControl/>
        <w:adjustRightInd w:val="0"/>
        <w:spacing w:line="360" w:lineRule="auto"/>
        <w:ind w:firstLine="627" w:firstLineChars="196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（一）申报材料存在弄虚作假；</w:t>
      </w:r>
    </w:p>
    <w:p>
      <w:pPr>
        <w:spacing w:line="30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（二）对工作不负责任，作风不严谨，受到投诉并经查实；</w:t>
      </w:r>
    </w:p>
    <w:p>
      <w:pPr>
        <w:spacing w:line="30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（三）在聘期内有从业不良信用记录，存在违法违纪行为；</w:t>
      </w:r>
    </w:p>
    <w:p>
      <w:pPr>
        <w:spacing w:line="30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（四）被吊销职业资格证书或注册证书；</w:t>
      </w:r>
    </w:p>
    <w:p>
      <w:pPr>
        <w:spacing w:line="30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（五）长期无正当理由不履行专家工作职责，受邀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请后无故缺席超过2次；</w:t>
      </w:r>
    </w:p>
    <w:p>
      <w:pPr>
        <w:spacing w:line="30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（六）利用专家职务便利，非法收受他人财物，为他人谋利并经查实；</w:t>
      </w:r>
    </w:p>
    <w:p>
      <w:pPr>
        <w:widowControl/>
        <w:adjustRightInd w:val="0"/>
        <w:spacing w:line="360" w:lineRule="auto"/>
        <w:ind w:firstLine="627" w:firstLineChars="196"/>
        <w:jc w:val="lef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因身体健康、工作调动等原因，本人申请退出专家库。</w:t>
      </w:r>
    </w:p>
    <w:p>
      <w:pPr>
        <w:spacing w:line="300" w:lineRule="auto"/>
        <w:ind w:firstLine="643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专家库专家的联系方式、工作单位、职务职称等基本信息发生变化，专家应当在一个月内报浙江省建设工程造价管理总站更新信息。</w:t>
      </w:r>
    </w:p>
    <w:p>
      <w:pPr>
        <w:widowControl/>
        <w:adjustRightInd w:val="0"/>
        <w:spacing w:line="360" w:lineRule="auto"/>
        <w:ind w:firstLine="630" w:firstLineChars="196"/>
        <w:jc w:val="center"/>
        <w:rPr>
          <w:rFonts w:ascii="仿宋_GB2312" w:hAnsi="黑体" w:eastAsia="仿宋_GB2312" w:cs="Arial"/>
          <w:b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pacing w:line="360" w:lineRule="auto"/>
        <w:ind w:firstLine="630" w:firstLineChars="196"/>
        <w:jc w:val="center"/>
        <w:rPr>
          <w:rFonts w:ascii="仿宋_GB2312" w:hAnsi="黑体" w:eastAsia="仿宋_GB2312" w:cs="Arial"/>
          <w:b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Arial"/>
          <w:b/>
          <w:smallCap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第六章 附录</w:t>
      </w:r>
    </w:p>
    <w:p>
      <w:pPr>
        <w:widowControl/>
        <w:adjustRightInd w:val="0"/>
        <w:spacing w:line="360" w:lineRule="auto"/>
        <w:ind w:firstLine="630" w:firstLineChars="196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第十五条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本办法由浙江省建设工程造价管理总站负责解释。</w:t>
      </w:r>
    </w:p>
    <w:p>
      <w:pPr>
        <w:widowControl/>
        <w:adjustRightInd w:val="0"/>
        <w:spacing w:line="360" w:lineRule="auto"/>
        <w:ind w:firstLine="643" w:firstLineChars="200"/>
        <w:jc w:val="left"/>
        <w:rPr>
          <w:rFonts w:ascii="仿宋_GB2312" w:hAnsi="黑体" w:eastAsia="仿宋_GB2312" w:cs="Arial"/>
          <w:bCs/>
          <w:smallCaps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第十六条 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本办法自发布之日起施行。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17B50"/>
    <w:multiLevelType w:val="singleLevel"/>
    <w:tmpl w:val="81F17B50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93349E8C"/>
    <w:multiLevelType w:val="singleLevel"/>
    <w:tmpl w:val="93349E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DBB53E2"/>
    <w:multiLevelType w:val="multilevel"/>
    <w:tmpl w:val="1DBB53E2"/>
    <w:lvl w:ilvl="0" w:tentative="0">
      <w:start w:val="1"/>
      <w:numFmt w:val="japaneseCounting"/>
      <w:lvlText w:val="第%1章"/>
      <w:lvlJc w:val="left"/>
      <w:pPr>
        <w:ind w:left="171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62ED188"/>
    <w:multiLevelType w:val="singleLevel"/>
    <w:tmpl w:val="262ED1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TViNTYzNjRiYmQzZTc1NjFkNWY3Y2Y0Nzk4ZDMifQ=="/>
  </w:docVars>
  <w:rsids>
    <w:rsidRoot w:val="00000000"/>
    <w:rsid w:val="387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styleId="5">
    <w:name w:val="No Spacing"/>
    <w:qFormat/>
    <w:uiPriority w:val="99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2022-06-22T06:20:06Z</dcterms:created>
  <dc:creator>Administrator</dc:creator>
  <cp:lastModifiedBy>鱼小姐</cp:lastModifiedBy>
  <dcterms:modified xsi:type="dcterms:W3CDTF">2022-06-22T06:20:15Z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2D809A541FFF4683BDFBBE0E1915C086</vt:lpwstr>
  </property>
</Properties>
</file>